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24"/>
          <w:szCs w:val="24"/>
        </w:rPr>
        <w:id w:val="1329173519"/>
        <w:docPartObj>
          <w:docPartGallery w:val="Cover Pages"/>
          <w:docPartUnique/>
        </w:docPartObj>
      </w:sdtPr>
      <w:sdtEndPr/>
      <w:sdtContent>
        <w:p w14:paraId="6711DE79" w14:textId="7D9D436E" w:rsidR="00617B94" w:rsidRPr="00E10F62" w:rsidRDefault="00BF4B29">
          <w:pPr>
            <w:rPr>
              <w:sz w:val="24"/>
              <w:szCs w:val="24"/>
            </w:rPr>
          </w:pPr>
          <w:r w:rsidRPr="00E10F62">
            <w:rPr>
              <w:noProof/>
              <w:sz w:val="24"/>
              <w:szCs w:val="24"/>
              <w:lang w:eastAsia="en-GB"/>
            </w:rPr>
            <w:drawing>
              <wp:anchor distT="0" distB="0" distL="114300" distR="114300" simplePos="0" relativeHeight="251657216" behindDoc="0" locked="0" layoutInCell="1" allowOverlap="1" wp14:anchorId="4AE6AA57" wp14:editId="3204515F">
                <wp:simplePos x="0" y="0"/>
                <wp:positionH relativeFrom="margin">
                  <wp:align>right</wp:align>
                </wp:positionH>
                <wp:positionV relativeFrom="margin">
                  <wp:align>top</wp:align>
                </wp:positionV>
                <wp:extent cx="1456055" cy="14192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WS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6055" cy="141922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405"/>
          </w:tblGrid>
          <w:tr w:rsidR="00617B94" w:rsidRPr="00E10F62" w14:paraId="54729D88" w14:textId="77777777">
            <w:tc>
              <w:tcPr>
                <w:tcW w:w="7672" w:type="dxa"/>
                <w:tcMar>
                  <w:top w:w="216" w:type="dxa"/>
                  <w:left w:w="115" w:type="dxa"/>
                  <w:bottom w:w="216" w:type="dxa"/>
                  <w:right w:w="115" w:type="dxa"/>
                </w:tcMar>
              </w:tcPr>
              <w:p w14:paraId="3390C8C3" w14:textId="38C8DEB4" w:rsidR="00617B94" w:rsidRPr="00E10F62" w:rsidRDefault="00984623" w:rsidP="00617B94">
                <w:pPr>
                  <w:pStyle w:val="NoSpacing"/>
                  <w:rPr>
                    <w:color w:val="2E74B5" w:themeColor="accent1" w:themeShade="BF"/>
                    <w:sz w:val="44"/>
                    <w:szCs w:val="24"/>
                  </w:rPr>
                </w:pPr>
                <w:r w:rsidRPr="00E10F62">
                  <w:rPr>
                    <w:color w:val="2E74B5" w:themeColor="accent1" w:themeShade="BF"/>
                    <w:sz w:val="44"/>
                    <w:szCs w:val="24"/>
                  </w:rPr>
                  <w:t>Consultation Response</w:t>
                </w:r>
              </w:p>
            </w:tc>
          </w:tr>
          <w:tr w:rsidR="00617B94" w:rsidRPr="00E10F62" w14:paraId="748EAE05" w14:textId="77777777" w:rsidTr="00984623">
            <w:trPr>
              <w:trHeight w:val="5240"/>
            </w:trPr>
            <w:tc>
              <w:tcPr>
                <w:tcW w:w="7672" w:type="dxa"/>
                <w:shd w:val="clear" w:color="auto" w:fill="auto"/>
              </w:tcPr>
              <w:p w14:paraId="4C124931" w14:textId="470C7D15" w:rsidR="00617B94" w:rsidRPr="00E10F62" w:rsidRDefault="00561829" w:rsidP="006334DF">
                <w:pPr>
                  <w:pStyle w:val="NoSpacing"/>
                  <w:spacing w:line="216" w:lineRule="auto"/>
                  <w:rPr>
                    <w:rFonts w:asciiTheme="majorHAnsi" w:eastAsiaTheme="majorEastAsia" w:hAnsiTheme="majorHAnsi" w:cstheme="majorBidi"/>
                    <w:color w:val="1F4E79" w:themeColor="accent1" w:themeShade="80"/>
                    <w:sz w:val="44"/>
                    <w:szCs w:val="24"/>
                  </w:rPr>
                </w:pPr>
                <w:r>
                  <w:rPr>
                    <w:rFonts w:eastAsiaTheme="minorHAnsi"/>
                    <w:color w:val="1F4E79" w:themeColor="accent1" w:themeShade="80"/>
                    <w:sz w:val="44"/>
                    <w:szCs w:val="24"/>
                    <w:lang w:val="en-GB"/>
                  </w:rPr>
                  <w:t xml:space="preserve">The </w:t>
                </w:r>
                <w:r w:rsidR="00BA0FE6" w:rsidRPr="00D5647C">
                  <w:rPr>
                    <w:rFonts w:eastAsiaTheme="minorHAnsi"/>
                    <w:color w:val="1F4E79" w:themeColor="accent1" w:themeShade="80"/>
                    <w:sz w:val="44"/>
                    <w:szCs w:val="24"/>
                    <w:lang w:val="en-GB"/>
                  </w:rPr>
                  <w:t>Travel</w:t>
                </w:r>
                <w:r>
                  <w:rPr>
                    <w:rFonts w:eastAsiaTheme="minorHAnsi"/>
                    <w:color w:val="1F4E79" w:themeColor="accent1" w:themeShade="80"/>
                    <w:sz w:val="44"/>
                    <w:szCs w:val="24"/>
                    <w:lang w:val="en-GB"/>
                  </w:rPr>
                  <w:t>Watch SouthWest</w:t>
                </w:r>
                <w:r w:rsidR="00B53B46">
                  <w:rPr>
                    <w:rFonts w:eastAsiaTheme="minorHAnsi"/>
                    <w:color w:val="1F4E79" w:themeColor="accent1" w:themeShade="80"/>
                    <w:sz w:val="44"/>
                    <w:szCs w:val="24"/>
                    <w:lang w:val="en-GB"/>
                  </w:rPr>
                  <w:t xml:space="preserve"> Response to </w:t>
                </w:r>
                <w:r w:rsidR="006334DF">
                  <w:rPr>
                    <w:rFonts w:eastAsiaTheme="minorHAnsi"/>
                    <w:color w:val="1F4E79" w:themeColor="accent1" w:themeShade="80"/>
                    <w:sz w:val="44"/>
                    <w:szCs w:val="24"/>
                    <w:lang w:val="en-GB"/>
                  </w:rPr>
                  <w:t xml:space="preserve">the </w:t>
                </w:r>
                <w:r w:rsidR="006334DF" w:rsidRPr="006334DF">
                  <w:rPr>
                    <w:rFonts w:eastAsiaTheme="minorHAnsi"/>
                    <w:color w:val="1F4E79" w:themeColor="accent1" w:themeShade="80"/>
                    <w:sz w:val="44"/>
                    <w:szCs w:val="24"/>
                    <w:lang w:val="en-GB"/>
                  </w:rPr>
                  <w:t>ORR’s Strategic Business Plan</w:t>
                </w:r>
                <w:r w:rsidR="006334DF">
                  <w:rPr>
                    <w:rFonts w:eastAsiaTheme="minorHAnsi"/>
                    <w:b/>
                    <w:color w:val="1F4E79" w:themeColor="accent1" w:themeShade="80"/>
                    <w:sz w:val="44"/>
                    <w:szCs w:val="24"/>
                    <w:lang w:val="en-GB"/>
                  </w:rPr>
                  <w:t xml:space="preserve"> </w:t>
                </w:r>
                <w:r w:rsidR="00F20F91">
                  <w:rPr>
                    <w:rFonts w:eastAsiaTheme="minorHAnsi"/>
                    <w:color w:val="1F4E79" w:themeColor="accent1" w:themeShade="80"/>
                    <w:sz w:val="44"/>
                    <w:szCs w:val="24"/>
                    <w:lang w:val="en-GB"/>
                  </w:rPr>
                  <w:t>C</w:t>
                </w:r>
                <w:r w:rsidR="00B53B46" w:rsidRPr="00B53B46">
                  <w:rPr>
                    <w:rFonts w:eastAsiaTheme="minorHAnsi"/>
                    <w:color w:val="1F4E79" w:themeColor="accent1" w:themeShade="80"/>
                    <w:sz w:val="44"/>
                    <w:szCs w:val="24"/>
                    <w:lang w:val="en-GB"/>
                  </w:rPr>
                  <w:t>onsultation</w:t>
                </w:r>
              </w:p>
            </w:tc>
          </w:tr>
          <w:tr w:rsidR="00617B94" w:rsidRPr="00E10F62" w14:paraId="2573764A" w14:textId="77777777" w:rsidTr="00984623">
            <w:tc>
              <w:tcPr>
                <w:tcW w:w="7672" w:type="dxa"/>
                <w:shd w:val="clear" w:color="auto" w:fill="auto"/>
                <w:tcMar>
                  <w:top w:w="216" w:type="dxa"/>
                  <w:left w:w="115" w:type="dxa"/>
                  <w:bottom w:w="216" w:type="dxa"/>
                  <w:right w:w="115" w:type="dxa"/>
                </w:tcMar>
              </w:tcPr>
              <w:p w14:paraId="20B6F220" w14:textId="329601BF" w:rsidR="00617B94" w:rsidRPr="00E10F62" w:rsidRDefault="006334DF" w:rsidP="006334DF">
                <w:pPr>
                  <w:pStyle w:val="NoSpacing"/>
                  <w:rPr>
                    <w:color w:val="1F4E79" w:themeColor="accent1" w:themeShade="80"/>
                    <w:sz w:val="24"/>
                    <w:szCs w:val="24"/>
                  </w:rPr>
                </w:pPr>
                <w:r>
                  <w:rPr>
                    <w:color w:val="1F4E79" w:themeColor="accent1" w:themeShade="80"/>
                    <w:sz w:val="24"/>
                    <w:szCs w:val="24"/>
                  </w:rPr>
                  <w:t>11 January 2017</w:t>
                </w:r>
              </w:p>
            </w:tc>
          </w:tr>
        </w:tbl>
        <w:tbl>
          <w:tblPr>
            <w:tblpPr w:leftFromText="187" w:rightFromText="187" w:horzAnchor="margin" w:tblpXSpec="center" w:tblpYSpec="bottom"/>
            <w:tblW w:w="3857" w:type="pct"/>
            <w:tblLook w:val="04A0" w:firstRow="1" w:lastRow="0" w:firstColumn="1" w:lastColumn="0" w:noHBand="0" w:noVBand="1"/>
          </w:tblPr>
          <w:tblGrid>
            <w:gridCol w:w="7140"/>
          </w:tblGrid>
          <w:tr w:rsidR="00617B94" w:rsidRPr="00E10F62" w14:paraId="2ED9110C" w14:textId="77777777">
            <w:tc>
              <w:tcPr>
                <w:tcW w:w="7221" w:type="dxa"/>
                <w:tcMar>
                  <w:top w:w="216" w:type="dxa"/>
                  <w:left w:w="115" w:type="dxa"/>
                  <w:bottom w:w="216" w:type="dxa"/>
                  <w:right w:w="115" w:type="dxa"/>
                </w:tcMar>
              </w:tcPr>
              <w:p w14:paraId="598DC55B" w14:textId="77777777" w:rsidR="00617B94" w:rsidRPr="00E10F62" w:rsidRDefault="00617B94" w:rsidP="00617B94">
                <w:pPr>
                  <w:pStyle w:val="NoSpacing"/>
                  <w:rPr>
                    <w:color w:val="5B9BD5" w:themeColor="accent1"/>
                    <w:sz w:val="24"/>
                    <w:szCs w:val="24"/>
                  </w:rPr>
                </w:pPr>
              </w:p>
            </w:tc>
          </w:tr>
        </w:tbl>
        <w:p w14:paraId="586FBCCB" w14:textId="3B2F2E30" w:rsidR="00617B94" w:rsidRPr="00E10F62" w:rsidRDefault="00617B94">
          <w:pPr>
            <w:rPr>
              <w:sz w:val="24"/>
              <w:szCs w:val="24"/>
            </w:rPr>
          </w:pPr>
          <w:r w:rsidRPr="00E10F62">
            <w:rPr>
              <w:sz w:val="24"/>
              <w:szCs w:val="24"/>
            </w:rPr>
            <w:br w:type="page"/>
          </w:r>
        </w:p>
      </w:sdtContent>
    </w:sdt>
    <w:p w14:paraId="51F06FDE" w14:textId="466B895A" w:rsidR="00E10F62" w:rsidRDefault="00E10F62" w:rsidP="00E10F62">
      <w:pPr>
        <w:rPr>
          <w:rFonts w:ascii="Helvetica" w:eastAsia="Times New Roman" w:hAnsi="Helvetica" w:cs="Helvetica"/>
          <w:color w:val="000000"/>
          <w:sz w:val="24"/>
          <w:szCs w:val="24"/>
          <w:lang w:eastAsia="en-GB"/>
        </w:rPr>
      </w:pPr>
      <w:r w:rsidRPr="00617B94">
        <w:rPr>
          <w:rFonts w:ascii="Helvetica" w:eastAsia="Times New Roman" w:hAnsi="Helvetica" w:cs="Helvetica"/>
          <w:noProof/>
          <w:color w:val="000000"/>
          <w:sz w:val="24"/>
          <w:szCs w:val="24"/>
          <w:lang w:eastAsia="en-GB"/>
        </w:rPr>
        <w:lastRenderedPageBreak/>
        <w:drawing>
          <wp:inline distT="0" distB="0" distL="0" distR="0" wp14:anchorId="57D0A5C1" wp14:editId="10A59331">
            <wp:extent cx="1459832" cy="1422501"/>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WSW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0789" cy="1511132"/>
                    </a:xfrm>
                    <a:prstGeom prst="rect">
                      <a:avLst/>
                    </a:prstGeom>
                  </pic:spPr>
                </pic:pic>
              </a:graphicData>
            </a:graphic>
          </wp:inline>
        </w:drawing>
      </w:r>
      <w:r w:rsidRPr="00E10F62">
        <w:rPr>
          <w:rFonts w:ascii="Helvetica" w:eastAsia="Times New Roman" w:hAnsi="Helvetica" w:cs="Helvetica"/>
          <w:color w:val="000000"/>
          <w:sz w:val="24"/>
          <w:szCs w:val="24"/>
          <w:lang w:eastAsia="en-GB"/>
        </w:rPr>
        <w:t xml:space="preserve"> </w:t>
      </w:r>
    </w:p>
    <w:p w14:paraId="569CA98A" w14:textId="77777777" w:rsidR="00E10F62" w:rsidRDefault="00E10F62" w:rsidP="00E10F62">
      <w:pPr>
        <w:rPr>
          <w:rFonts w:ascii="Helvetica" w:eastAsia="Times New Roman" w:hAnsi="Helvetica" w:cs="Helvetica"/>
          <w:color w:val="000000"/>
          <w:sz w:val="24"/>
          <w:szCs w:val="24"/>
          <w:lang w:eastAsia="en-GB"/>
        </w:rPr>
      </w:pPr>
    </w:p>
    <w:p w14:paraId="7B1D7EE4" w14:textId="77777777" w:rsidR="006334DF" w:rsidRDefault="006334DF" w:rsidP="006334DF">
      <w:pPr>
        <w:rPr>
          <w:rFonts w:ascii="Arial" w:hAnsi="Arial" w:cs="Arial"/>
          <w:b/>
          <w:sz w:val="28"/>
        </w:rPr>
      </w:pPr>
      <w:r w:rsidRPr="00B77E3F">
        <w:rPr>
          <w:rFonts w:ascii="Arial" w:hAnsi="Arial" w:cs="Arial"/>
          <w:b/>
          <w:sz w:val="28"/>
        </w:rPr>
        <w:t>TravelWatch SouthWest</w:t>
      </w:r>
    </w:p>
    <w:p w14:paraId="3599E0EC" w14:textId="77777777" w:rsidR="006334DF" w:rsidRPr="00B77E3F" w:rsidRDefault="006334DF" w:rsidP="006334DF">
      <w:pPr>
        <w:rPr>
          <w:rFonts w:ascii="Arial" w:hAnsi="Arial" w:cs="Arial"/>
          <w:b/>
          <w:sz w:val="28"/>
        </w:rPr>
      </w:pPr>
      <w:r w:rsidRPr="00B77E3F">
        <w:rPr>
          <w:rFonts w:ascii="Arial" w:hAnsi="Arial" w:cs="Arial"/>
          <w:b/>
          <w:sz w:val="28"/>
        </w:rPr>
        <w:t>Response to the ORR’s Strategic Business Plan consultation, November 2016</w:t>
      </w:r>
    </w:p>
    <w:p w14:paraId="6B568D61" w14:textId="77777777" w:rsidR="006334DF" w:rsidRPr="00B77E3F" w:rsidRDefault="006334DF" w:rsidP="006334DF">
      <w:pPr>
        <w:rPr>
          <w:rFonts w:ascii="Arial" w:hAnsi="Arial" w:cs="Arial"/>
          <w:sz w:val="28"/>
        </w:rPr>
      </w:pPr>
    </w:p>
    <w:p w14:paraId="727AC5A9" w14:textId="77777777" w:rsidR="006334DF" w:rsidRPr="00B77E3F" w:rsidRDefault="006334DF" w:rsidP="006334DF">
      <w:pPr>
        <w:rPr>
          <w:rFonts w:cstheme="minorHAnsi"/>
          <w:sz w:val="28"/>
        </w:rPr>
      </w:pPr>
      <w:r w:rsidRPr="00B77E3F">
        <w:rPr>
          <w:rFonts w:cstheme="minorHAnsi"/>
          <w:sz w:val="28"/>
        </w:rPr>
        <w:t>TRAVELWATCH SOUTHWEST CIC</w:t>
      </w:r>
    </w:p>
    <w:p w14:paraId="6AFDD54F" w14:textId="77777777" w:rsidR="006334DF" w:rsidRPr="00B77E3F" w:rsidRDefault="006334DF" w:rsidP="006334DF">
      <w:pPr>
        <w:rPr>
          <w:rFonts w:cstheme="minorHAnsi"/>
          <w:sz w:val="28"/>
        </w:rPr>
      </w:pPr>
      <w:r w:rsidRPr="00B77E3F">
        <w:rPr>
          <w:rFonts w:cstheme="minorHAnsi"/>
          <w:sz w:val="28"/>
        </w:rPr>
        <w:t>TravelWatch SouthWest was established in 2001 as The South West Public Transport Users' Forum (SWPTUF) to promote the interests of public transport users in the South West of England (comprising the counties of Devon, Dorset, Gloucestershire and Somerset and the unitary authorities of Bath and North East Somerset, Bournemouth, Bristol, Cornwall, North Somerset, Plymouth, Poole, South Gloucestershire, Swindon, Torbay and Wiltshire) - the Forum became a Community Interest Company, limited by guarantee, in August 2005. SWPTUF adopted the trading name of TravelWatch SouthWest in June 2006 and the Community Interest Company changed name to TravelWatch SouthWest CIC in November 2008.</w:t>
      </w:r>
    </w:p>
    <w:p w14:paraId="26ED2DB7" w14:textId="77777777" w:rsidR="006334DF" w:rsidRPr="00B77E3F" w:rsidRDefault="006334DF" w:rsidP="006334DF">
      <w:pPr>
        <w:rPr>
          <w:rFonts w:cstheme="minorHAnsi"/>
          <w:sz w:val="28"/>
        </w:rPr>
      </w:pPr>
      <w:r w:rsidRPr="00B77E3F">
        <w:rPr>
          <w:rFonts w:cstheme="minorHAnsi"/>
          <w:sz w:val="28"/>
        </w:rPr>
        <w:t> </w:t>
      </w:r>
    </w:p>
    <w:p w14:paraId="73FF7C40" w14:textId="77777777" w:rsidR="006334DF" w:rsidRPr="00B77E3F" w:rsidRDefault="006334DF" w:rsidP="006334DF">
      <w:pPr>
        <w:rPr>
          <w:rFonts w:cstheme="minorHAnsi"/>
          <w:sz w:val="28"/>
        </w:rPr>
      </w:pPr>
      <w:r w:rsidRPr="00B77E3F">
        <w:rPr>
          <w:rFonts w:cstheme="minorHAnsi"/>
          <w:sz w:val="28"/>
        </w:rPr>
        <w:t>Membership of the TravelWatch SouthWest CIC is open to every 'not-for-profit' organisation in the South West of England whose sole or principal purpose is to represent the users of any public transport service or to promote the development of public transport services - membership is also open to other 'not-for-profit' organisations' in the South West England who represent the interests of particular groups of public transport users e.g. the disabled or the elderly. TWSW currently has over one hundred affiliated organisations.</w:t>
      </w:r>
    </w:p>
    <w:p w14:paraId="2B4E9AFD" w14:textId="77777777" w:rsidR="006334DF" w:rsidRPr="00B77E3F" w:rsidRDefault="006334DF" w:rsidP="006334DF">
      <w:pPr>
        <w:rPr>
          <w:rFonts w:cstheme="minorHAnsi"/>
          <w:sz w:val="28"/>
        </w:rPr>
      </w:pPr>
      <w:r w:rsidRPr="00B77E3F">
        <w:rPr>
          <w:rFonts w:cstheme="minorHAnsi"/>
          <w:sz w:val="28"/>
        </w:rPr>
        <w:t> </w:t>
      </w:r>
      <w:r w:rsidRPr="00B77E3F">
        <w:rPr>
          <w:rFonts w:cstheme="minorHAnsi"/>
          <w:sz w:val="28"/>
        </w:rPr>
        <w:tab/>
      </w:r>
    </w:p>
    <w:p w14:paraId="019C9995" w14:textId="77777777" w:rsidR="006334DF" w:rsidRDefault="006334DF" w:rsidP="006334DF">
      <w:pPr>
        <w:rPr>
          <w:rFonts w:cstheme="minorHAnsi"/>
          <w:sz w:val="28"/>
        </w:rPr>
      </w:pPr>
      <w:r w:rsidRPr="00B77E3F">
        <w:rPr>
          <w:rFonts w:cstheme="minorHAnsi"/>
          <w:sz w:val="28"/>
        </w:rPr>
        <w:t xml:space="preserve">TWSW, which is a social enterprise company, acts as an advocate for passengers to lobby for the improvement of public transport in the region and </w:t>
      </w:r>
      <w:r w:rsidRPr="00B77E3F">
        <w:rPr>
          <w:rFonts w:cstheme="minorHAnsi"/>
          <w:sz w:val="28"/>
        </w:rPr>
        <w:lastRenderedPageBreak/>
        <w:t>works closely with local authorities, local enterprise partnerships, business organisations and other stakeholder groups - with the dissolution of the former Rail Passengers Committee for Western England in July 2005, TWSW is the representative body for public transport users throughout the South West of England.</w:t>
      </w:r>
    </w:p>
    <w:p w14:paraId="6FBC890C" w14:textId="77777777" w:rsidR="006334DF" w:rsidRPr="00B77E3F" w:rsidRDefault="006334DF" w:rsidP="006334DF">
      <w:pPr>
        <w:rPr>
          <w:rFonts w:cstheme="minorHAnsi"/>
          <w:sz w:val="28"/>
          <w:highlight w:val="yellow"/>
        </w:rPr>
      </w:pPr>
    </w:p>
    <w:p w14:paraId="2EE279BD" w14:textId="77777777" w:rsidR="006334DF" w:rsidRPr="00B77E3F" w:rsidRDefault="006334DF" w:rsidP="006334DF">
      <w:pPr>
        <w:rPr>
          <w:rFonts w:cstheme="minorHAnsi"/>
          <w:sz w:val="28"/>
        </w:rPr>
      </w:pPr>
      <w:r w:rsidRPr="00B77E3F">
        <w:rPr>
          <w:rFonts w:cstheme="minorHAnsi"/>
          <w:sz w:val="28"/>
        </w:rPr>
        <w:t xml:space="preserve">TravelWatch SouthWest broadly supports the concept of Strategic Business Plans (SBP) with its emphasis on ‘geographical routes’ and greater stakeholder engagement and hope that in the light of the recent fiasco around the electrification programme for the Great Western Main Line that it will improve Network Rail’s efficiency, accountability and ability to deliver on time and on budget.  The SBPs are Network Rail’s golden opportunity to re-establish its credibility.  To this end we raise several comments as set out below.  </w:t>
      </w:r>
    </w:p>
    <w:p w14:paraId="416507B9" w14:textId="77777777" w:rsidR="006334DF" w:rsidRDefault="006334DF" w:rsidP="006334DF">
      <w:pPr>
        <w:rPr>
          <w:rFonts w:cstheme="minorHAnsi"/>
          <w:sz w:val="28"/>
        </w:rPr>
      </w:pPr>
    </w:p>
    <w:p w14:paraId="28D2A20A" w14:textId="77777777" w:rsidR="003B391E" w:rsidRPr="00B77E3F" w:rsidRDefault="003B391E" w:rsidP="006334DF">
      <w:pPr>
        <w:rPr>
          <w:rFonts w:cstheme="minorHAnsi"/>
          <w:sz w:val="28"/>
        </w:rPr>
      </w:pPr>
    </w:p>
    <w:p w14:paraId="5BE629A9" w14:textId="77777777" w:rsidR="006334DF" w:rsidRPr="00B77E3F" w:rsidRDefault="006334DF" w:rsidP="006334DF">
      <w:pPr>
        <w:rPr>
          <w:rFonts w:cstheme="minorHAnsi"/>
          <w:b/>
          <w:sz w:val="28"/>
        </w:rPr>
      </w:pPr>
      <w:r w:rsidRPr="00573B4D">
        <w:rPr>
          <w:rFonts w:cstheme="minorHAnsi"/>
          <w:b/>
          <w:sz w:val="32"/>
        </w:rPr>
        <w:t>Strategic Business Plans – what they need to take account of</w:t>
      </w:r>
    </w:p>
    <w:p w14:paraId="4D471D59" w14:textId="77777777" w:rsidR="006334DF" w:rsidRPr="00B77E3F" w:rsidRDefault="006334DF" w:rsidP="006334DF">
      <w:pPr>
        <w:rPr>
          <w:rFonts w:cstheme="minorHAnsi"/>
          <w:sz w:val="28"/>
        </w:rPr>
      </w:pPr>
      <w:r w:rsidRPr="00B77E3F">
        <w:rPr>
          <w:rFonts w:cstheme="minorHAnsi"/>
          <w:sz w:val="28"/>
        </w:rPr>
        <w:t>The format for each route’s strategic plan set out in section 6 is supported but we believe that to be more effective account must be taken of the following.</w:t>
      </w:r>
    </w:p>
    <w:p w14:paraId="3C3DC144" w14:textId="77777777" w:rsidR="006334DF" w:rsidRPr="00B77E3F" w:rsidRDefault="006334DF" w:rsidP="006334DF">
      <w:pPr>
        <w:rPr>
          <w:rFonts w:cstheme="minorHAnsi"/>
          <w:sz w:val="28"/>
        </w:rPr>
      </w:pPr>
    </w:p>
    <w:p w14:paraId="282C10B1" w14:textId="77777777" w:rsidR="006334DF" w:rsidRPr="00B77E3F" w:rsidRDefault="006334DF" w:rsidP="006334DF">
      <w:pPr>
        <w:rPr>
          <w:rFonts w:cstheme="minorHAnsi"/>
          <w:i/>
          <w:sz w:val="28"/>
        </w:rPr>
      </w:pPr>
      <w:r w:rsidRPr="00B77E3F">
        <w:rPr>
          <w:rFonts w:cstheme="minorHAnsi"/>
          <w:i/>
          <w:sz w:val="28"/>
        </w:rPr>
        <w:t xml:space="preserve">Historic and ongoing growth in rail passenger numbers  </w:t>
      </w:r>
    </w:p>
    <w:p w14:paraId="4F820F5C" w14:textId="77777777" w:rsidR="006334DF" w:rsidRPr="00B77E3F" w:rsidRDefault="006334DF" w:rsidP="006334DF">
      <w:pPr>
        <w:rPr>
          <w:rFonts w:cstheme="minorHAnsi"/>
          <w:sz w:val="28"/>
        </w:rPr>
      </w:pPr>
      <w:r w:rsidRPr="00B77E3F">
        <w:rPr>
          <w:rFonts w:cstheme="minorHAnsi"/>
          <w:sz w:val="28"/>
        </w:rPr>
        <w:t xml:space="preserve">Over the last 20 years the South West of England has seen impressive growth in rail passenger numbers.  From the Office of Rail and Road’s own figures passengers have grown by 194% to 2014/15.  </w:t>
      </w:r>
    </w:p>
    <w:p w14:paraId="4B940B79" w14:textId="77777777" w:rsidR="006334DF" w:rsidRPr="00B77E3F" w:rsidRDefault="006334DF" w:rsidP="006334DF">
      <w:pPr>
        <w:rPr>
          <w:rFonts w:cstheme="minorHAnsi"/>
          <w:sz w:val="28"/>
        </w:rPr>
      </w:pPr>
    </w:p>
    <w:p w14:paraId="0988ECA3" w14:textId="77777777" w:rsidR="006334DF" w:rsidRPr="00B77E3F" w:rsidRDefault="006334DF" w:rsidP="006334DF">
      <w:pPr>
        <w:rPr>
          <w:rFonts w:cstheme="minorHAnsi"/>
          <w:i/>
          <w:sz w:val="28"/>
        </w:rPr>
      </w:pPr>
      <w:r w:rsidRPr="00B77E3F">
        <w:rPr>
          <w:rFonts w:cstheme="minorHAnsi"/>
          <w:i/>
          <w:sz w:val="28"/>
        </w:rPr>
        <w:t>Increase attractiveness to investors</w:t>
      </w:r>
    </w:p>
    <w:p w14:paraId="23C1E5B6" w14:textId="77777777" w:rsidR="006334DF" w:rsidRPr="00B77E3F" w:rsidRDefault="006334DF" w:rsidP="006334DF">
      <w:pPr>
        <w:rPr>
          <w:rFonts w:cstheme="minorHAnsi"/>
          <w:sz w:val="28"/>
        </w:rPr>
      </w:pPr>
      <w:r w:rsidRPr="00B77E3F">
        <w:rPr>
          <w:rFonts w:cstheme="minorHAnsi"/>
          <w:sz w:val="28"/>
        </w:rPr>
        <w:t>If SBPs aim to increase the role of local funders then Network Rail must make itself more attractive to investors through the SBPs being committed to improving delivery times, reducing costs and ensuring greater value for money.  More robust, accurate and reliable costs estimates from the earliest stages of rail projects will provide investors with greater confidence that costs can be managed and delivered on budget.</w:t>
      </w:r>
    </w:p>
    <w:p w14:paraId="60964B43" w14:textId="77777777" w:rsidR="006334DF" w:rsidRPr="00B77E3F" w:rsidRDefault="006334DF" w:rsidP="006334DF">
      <w:pPr>
        <w:rPr>
          <w:rFonts w:cstheme="minorHAnsi"/>
          <w:sz w:val="28"/>
        </w:rPr>
      </w:pPr>
    </w:p>
    <w:p w14:paraId="00D22282" w14:textId="77777777" w:rsidR="006334DF" w:rsidRDefault="006334DF" w:rsidP="006334DF">
      <w:pPr>
        <w:rPr>
          <w:rFonts w:cstheme="minorHAnsi"/>
          <w:sz w:val="28"/>
        </w:rPr>
      </w:pPr>
      <w:r w:rsidRPr="00B77E3F">
        <w:rPr>
          <w:rFonts w:cstheme="minorHAnsi"/>
          <w:sz w:val="28"/>
        </w:rPr>
        <w:lastRenderedPageBreak/>
        <w:t xml:space="preserve">Network Rail must be prepared to seriously consider projects promoted by local authorities, Local Enterprise Partnerships and other third parties and accept that plans /design will be worked up and implemented outside of Network Rail.   This will ensure delivery if Network Rail cannot deploy resources in time to benefit from local /third party funding.  Rail projects will be increasingly ignored by third parties if Network Rail does not deliver. </w:t>
      </w:r>
    </w:p>
    <w:p w14:paraId="09BBBD14" w14:textId="77777777" w:rsidR="00573B4D" w:rsidRPr="00B77E3F" w:rsidRDefault="00573B4D" w:rsidP="006334DF">
      <w:pPr>
        <w:rPr>
          <w:rFonts w:cstheme="minorHAnsi"/>
          <w:sz w:val="28"/>
        </w:rPr>
      </w:pPr>
    </w:p>
    <w:p w14:paraId="63A368F9" w14:textId="77777777" w:rsidR="006334DF" w:rsidRDefault="006334DF" w:rsidP="006334DF">
      <w:pPr>
        <w:rPr>
          <w:rFonts w:cstheme="minorHAnsi"/>
          <w:sz w:val="28"/>
        </w:rPr>
      </w:pPr>
      <w:r w:rsidRPr="00B77E3F">
        <w:rPr>
          <w:rFonts w:cstheme="minorHAnsi"/>
          <w:sz w:val="28"/>
        </w:rPr>
        <w:t>In order to deliver the SBPs and keep costs under control Network Rail will need to improve its commercial relationships with contractors to ensure long-term strategies for use of equipment, purchase of supplies, skills development and apprenticeships.  There is a role here for the ORR to play in ensuring that project pipelines are structured to give much better value for money.</w:t>
      </w:r>
    </w:p>
    <w:p w14:paraId="22A40760" w14:textId="77777777" w:rsidR="00573B4D" w:rsidRPr="00B77E3F" w:rsidRDefault="00573B4D" w:rsidP="006334DF">
      <w:pPr>
        <w:rPr>
          <w:rFonts w:cstheme="minorHAnsi"/>
          <w:sz w:val="28"/>
        </w:rPr>
      </w:pPr>
    </w:p>
    <w:p w14:paraId="6ADC331D" w14:textId="77777777" w:rsidR="006334DF" w:rsidRPr="00B77E3F" w:rsidRDefault="006334DF" w:rsidP="006334DF">
      <w:pPr>
        <w:rPr>
          <w:rFonts w:cstheme="minorHAnsi"/>
          <w:sz w:val="28"/>
        </w:rPr>
      </w:pPr>
      <w:r w:rsidRPr="00B77E3F">
        <w:rPr>
          <w:rFonts w:cstheme="minorHAnsi"/>
          <w:sz w:val="28"/>
        </w:rPr>
        <w:t>Devolution and strategic plans for ‘geographical routes’ are a welcome step forward but this must be accompanied by a commitment from Network Rail to reform its working practices and corporate structure.</w:t>
      </w:r>
    </w:p>
    <w:p w14:paraId="1CA1E296" w14:textId="77777777" w:rsidR="006334DF" w:rsidRPr="00B77E3F" w:rsidRDefault="006334DF" w:rsidP="006334DF">
      <w:pPr>
        <w:rPr>
          <w:rFonts w:cstheme="minorHAnsi"/>
          <w:sz w:val="28"/>
        </w:rPr>
      </w:pPr>
    </w:p>
    <w:p w14:paraId="097E627F" w14:textId="77777777" w:rsidR="006334DF" w:rsidRPr="00B77E3F" w:rsidRDefault="006334DF" w:rsidP="006334DF">
      <w:pPr>
        <w:rPr>
          <w:rFonts w:cstheme="minorHAnsi"/>
          <w:i/>
          <w:sz w:val="28"/>
        </w:rPr>
      </w:pPr>
      <w:r w:rsidRPr="00B77E3F">
        <w:rPr>
          <w:rFonts w:cstheme="minorHAnsi"/>
          <w:i/>
          <w:sz w:val="28"/>
        </w:rPr>
        <w:t>Developments along the route</w:t>
      </w:r>
    </w:p>
    <w:p w14:paraId="0C8393E4" w14:textId="77777777" w:rsidR="006334DF" w:rsidRDefault="006334DF" w:rsidP="006334DF">
      <w:pPr>
        <w:rPr>
          <w:rFonts w:cstheme="minorHAnsi"/>
          <w:sz w:val="28"/>
        </w:rPr>
      </w:pPr>
      <w:r w:rsidRPr="00B77E3F">
        <w:rPr>
          <w:rFonts w:cstheme="minorHAnsi"/>
          <w:sz w:val="28"/>
        </w:rPr>
        <w:t>SBPs must take account of local plans and aspirations to ensure sufficient capacity for travel between centres of population, commerce and education at the right time of day.  As highlighted above there have been rapid growth in passenger numbers and a difficulty in keeping up with demand in some parts of the South West.  Population growth has been unprecedented here in the last decade; the projections are for this to continue.  Transport is an enabler, and a growing population will need to move around. But transport should also enable economic growth.  The Local Enterprise Partnerships (LEPs) and Local Authorities (LAs) have an increasingly clear view of the future focusses of population growth and where employment sites are likely to be.</w:t>
      </w:r>
    </w:p>
    <w:p w14:paraId="410D1581" w14:textId="77777777" w:rsidR="00573B4D" w:rsidRPr="00B77E3F" w:rsidRDefault="00573B4D" w:rsidP="006334DF">
      <w:pPr>
        <w:rPr>
          <w:rFonts w:cstheme="minorHAnsi"/>
          <w:sz w:val="28"/>
        </w:rPr>
      </w:pPr>
    </w:p>
    <w:p w14:paraId="14CBA8CB" w14:textId="77777777" w:rsidR="006334DF" w:rsidRDefault="006334DF" w:rsidP="006334DF">
      <w:pPr>
        <w:rPr>
          <w:rFonts w:cstheme="minorHAnsi"/>
          <w:sz w:val="28"/>
        </w:rPr>
      </w:pPr>
      <w:r w:rsidRPr="00B77E3F">
        <w:rPr>
          <w:rFonts w:cstheme="minorHAnsi"/>
          <w:sz w:val="28"/>
        </w:rPr>
        <w:t xml:space="preserve">Network Rail, therefore, must develop a better dialogue with local authorities and LEPs to understand and work with Local Plans in order to align its strategic planning to local as well as national needs and opportunities. </w:t>
      </w:r>
    </w:p>
    <w:p w14:paraId="2DFECA4F" w14:textId="77777777" w:rsidR="00573B4D" w:rsidRPr="00B77E3F" w:rsidRDefault="00573B4D" w:rsidP="006334DF">
      <w:pPr>
        <w:rPr>
          <w:rFonts w:cstheme="minorHAnsi"/>
          <w:sz w:val="28"/>
        </w:rPr>
      </w:pPr>
    </w:p>
    <w:p w14:paraId="339F2C94" w14:textId="77777777" w:rsidR="003B391E" w:rsidRDefault="003B391E" w:rsidP="006334DF">
      <w:pPr>
        <w:rPr>
          <w:rFonts w:cstheme="minorHAnsi"/>
          <w:sz w:val="28"/>
        </w:rPr>
      </w:pPr>
    </w:p>
    <w:p w14:paraId="7C7E0686" w14:textId="77777777" w:rsidR="003B391E" w:rsidRDefault="003B391E" w:rsidP="006334DF">
      <w:pPr>
        <w:rPr>
          <w:rFonts w:cstheme="minorHAnsi"/>
          <w:sz w:val="28"/>
        </w:rPr>
      </w:pPr>
    </w:p>
    <w:p w14:paraId="6A2B4624" w14:textId="77777777" w:rsidR="006334DF" w:rsidRPr="00B77E3F" w:rsidRDefault="006334DF" w:rsidP="006334DF">
      <w:pPr>
        <w:rPr>
          <w:rFonts w:cstheme="minorHAnsi"/>
          <w:sz w:val="28"/>
        </w:rPr>
      </w:pPr>
      <w:r w:rsidRPr="00B77E3F">
        <w:rPr>
          <w:rFonts w:cstheme="minorHAnsi"/>
          <w:sz w:val="28"/>
        </w:rPr>
        <w:t xml:space="preserve">As an example the area covered by TravelWatch South West will see around 20,000 new dwellings each year with a commensurate number of new jobs. ONS Subnational Population Projections for the South West estimate a 6.9% population increase in the decade to mid-2022.  For the West Wiltshire area in particular population estimates and forecasts suggest that the populations of Trowbridge and Westbury will both expand by more than 21% by 2037 to over 80,000, giving a combined total with those of the almost contiguous towns of Bradford-On-Avon, Melksham and Warminster of over 150,000. </w:t>
      </w:r>
    </w:p>
    <w:p w14:paraId="192EBB88" w14:textId="77777777" w:rsidR="006334DF" w:rsidRPr="00B77E3F" w:rsidRDefault="006334DF" w:rsidP="006334DF">
      <w:pPr>
        <w:rPr>
          <w:rFonts w:cstheme="minorHAnsi"/>
          <w:sz w:val="28"/>
        </w:rPr>
      </w:pPr>
    </w:p>
    <w:p w14:paraId="30DD0BD3" w14:textId="77777777" w:rsidR="006334DF" w:rsidRPr="00B77E3F" w:rsidRDefault="006334DF" w:rsidP="006334DF">
      <w:pPr>
        <w:rPr>
          <w:rFonts w:cstheme="minorHAnsi"/>
          <w:i/>
          <w:sz w:val="28"/>
        </w:rPr>
      </w:pPr>
      <w:r w:rsidRPr="00B77E3F">
        <w:rPr>
          <w:rFonts w:cstheme="minorHAnsi"/>
          <w:i/>
          <w:sz w:val="28"/>
        </w:rPr>
        <w:t>Tourism</w:t>
      </w:r>
    </w:p>
    <w:p w14:paraId="58004BBA" w14:textId="77777777" w:rsidR="006334DF" w:rsidRPr="00B77E3F" w:rsidRDefault="006334DF" w:rsidP="006334DF">
      <w:pPr>
        <w:rPr>
          <w:rFonts w:cstheme="minorHAnsi"/>
          <w:sz w:val="28"/>
        </w:rPr>
      </w:pPr>
      <w:r w:rsidRPr="00B77E3F">
        <w:rPr>
          <w:rFonts w:cstheme="minorHAnsi"/>
          <w:sz w:val="28"/>
        </w:rPr>
        <w:t>For the South West tourism is a key part of the economy attracting millions of visitors a year.  We would expect the new ‘bespoke’ approach of SBPs to fully take this into account and plan for accordingly.</w:t>
      </w:r>
    </w:p>
    <w:p w14:paraId="1E661483" w14:textId="77777777" w:rsidR="006334DF" w:rsidRDefault="006334DF" w:rsidP="006334DF">
      <w:pPr>
        <w:rPr>
          <w:rFonts w:cstheme="minorHAnsi"/>
          <w:sz w:val="32"/>
          <w:highlight w:val="yellow"/>
        </w:rPr>
      </w:pPr>
    </w:p>
    <w:p w14:paraId="09CD3DF1" w14:textId="77777777" w:rsidR="003B391E" w:rsidRPr="00573B4D" w:rsidRDefault="003B391E" w:rsidP="006334DF">
      <w:pPr>
        <w:rPr>
          <w:rFonts w:cstheme="minorHAnsi"/>
          <w:sz w:val="32"/>
          <w:highlight w:val="yellow"/>
        </w:rPr>
      </w:pPr>
    </w:p>
    <w:p w14:paraId="4D2D9552" w14:textId="77777777" w:rsidR="006334DF" w:rsidRPr="00B77E3F" w:rsidRDefault="006334DF" w:rsidP="006334DF">
      <w:pPr>
        <w:rPr>
          <w:rFonts w:cstheme="minorHAnsi"/>
          <w:b/>
          <w:sz w:val="28"/>
        </w:rPr>
      </w:pPr>
      <w:r w:rsidRPr="00573B4D">
        <w:rPr>
          <w:rFonts w:cstheme="minorHAnsi"/>
          <w:b/>
          <w:sz w:val="32"/>
        </w:rPr>
        <w:t>Stakeholder engagement</w:t>
      </w:r>
    </w:p>
    <w:p w14:paraId="179199B1" w14:textId="77777777" w:rsidR="006334DF" w:rsidRPr="00B77E3F" w:rsidRDefault="006334DF" w:rsidP="006334DF">
      <w:pPr>
        <w:rPr>
          <w:rFonts w:cstheme="minorHAnsi"/>
          <w:sz w:val="28"/>
        </w:rPr>
      </w:pPr>
      <w:r w:rsidRPr="00B77E3F">
        <w:rPr>
          <w:rFonts w:cstheme="minorHAnsi"/>
          <w:sz w:val="28"/>
        </w:rPr>
        <w:t>We welcome the proposals for Network Rail in sections 27 to 41 to proactively and widely engage with stakeholders in the preparation of strategic plans.  We stress this should be started as early as possible if the proposed ‘bottom up’ approach set out in section 6 for each route is to be successful.</w:t>
      </w:r>
    </w:p>
    <w:p w14:paraId="47C1D6CB" w14:textId="77777777" w:rsidR="006334DF" w:rsidRPr="00B77E3F" w:rsidRDefault="006334DF" w:rsidP="006334DF">
      <w:pPr>
        <w:rPr>
          <w:rFonts w:cstheme="minorHAnsi"/>
          <w:sz w:val="28"/>
        </w:rPr>
      </w:pPr>
    </w:p>
    <w:p w14:paraId="725A0C20" w14:textId="77777777" w:rsidR="006334DF" w:rsidRPr="00B77E3F" w:rsidRDefault="006334DF" w:rsidP="006334DF">
      <w:pPr>
        <w:rPr>
          <w:rFonts w:cstheme="minorHAnsi"/>
          <w:sz w:val="28"/>
        </w:rPr>
      </w:pPr>
      <w:r w:rsidRPr="00B77E3F">
        <w:rPr>
          <w:rFonts w:cstheme="minorHAnsi"/>
          <w:sz w:val="28"/>
        </w:rPr>
        <w:t>In the list of who stakeholders are in section 33 we suggest that in terms of passengers, TravelWatch SouthWest, representing as it does the widest range of passenger groups across the region, should be included as a matter of course for routes in the South West.</w:t>
      </w:r>
    </w:p>
    <w:p w14:paraId="0390146D" w14:textId="77777777" w:rsidR="006334DF" w:rsidRPr="00B77E3F" w:rsidRDefault="006334DF" w:rsidP="006334DF">
      <w:pPr>
        <w:rPr>
          <w:rFonts w:cstheme="minorHAnsi"/>
          <w:sz w:val="28"/>
        </w:rPr>
      </w:pPr>
    </w:p>
    <w:p w14:paraId="21CDF263" w14:textId="77777777" w:rsidR="003B391E" w:rsidRDefault="006334DF" w:rsidP="006334DF">
      <w:pPr>
        <w:rPr>
          <w:rFonts w:cstheme="minorHAnsi"/>
          <w:sz w:val="28"/>
        </w:rPr>
      </w:pPr>
      <w:r w:rsidRPr="00B77E3F">
        <w:rPr>
          <w:rFonts w:cstheme="minorHAnsi"/>
          <w:sz w:val="28"/>
        </w:rPr>
        <w:t xml:space="preserve">The requirement for Network Rail to provide more information, rather than </w:t>
      </w:r>
      <w:bookmarkStart w:id="0" w:name="_GoBack"/>
      <w:bookmarkEnd w:id="0"/>
      <w:r w:rsidRPr="00B77E3F">
        <w:rPr>
          <w:rFonts w:cstheme="minorHAnsi"/>
          <w:sz w:val="28"/>
        </w:rPr>
        <w:t xml:space="preserve">just relying on published plans, and to explain how key stakeholders’ points have been addressed are both strongly supported.  All this emphasises the </w:t>
      </w:r>
    </w:p>
    <w:p w14:paraId="304FD686" w14:textId="77777777" w:rsidR="003B391E" w:rsidRDefault="003B391E" w:rsidP="006334DF">
      <w:pPr>
        <w:rPr>
          <w:rFonts w:cstheme="minorHAnsi"/>
          <w:sz w:val="28"/>
        </w:rPr>
      </w:pPr>
    </w:p>
    <w:p w14:paraId="496C432F" w14:textId="74D87D67" w:rsidR="006334DF" w:rsidRPr="00B77E3F" w:rsidRDefault="006334DF" w:rsidP="006334DF">
      <w:pPr>
        <w:rPr>
          <w:rFonts w:cstheme="minorHAnsi"/>
          <w:sz w:val="28"/>
        </w:rPr>
      </w:pPr>
      <w:proofErr w:type="gramStart"/>
      <w:r w:rsidRPr="00B77E3F">
        <w:rPr>
          <w:rFonts w:cstheme="minorHAnsi"/>
          <w:sz w:val="28"/>
        </w:rPr>
        <w:t>importance</w:t>
      </w:r>
      <w:proofErr w:type="gramEnd"/>
      <w:r w:rsidRPr="00B77E3F">
        <w:rPr>
          <w:rFonts w:cstheme="minorHAnsi"/>
          <w:sz w:val="28"/>
        </w:rPr>
        <w:t xml:space="preserve"> of engagement being a two way process with genuine dialogue, debate and explanations.  To work, Network Rail’s commitment to the process must be 100% and whilst we can understand why the ORR does not plan to be directly involved the ORR should be prepared to step in when this is falling short of expectations.</w:t>
      </w:r>
    </w:p>
    <w:p w14:paraId="595A34A5" w14:textId="77777777" w:rsidR="006334DF" w:rsidRPr="00B77E3F" w:rsidRDefault="006334DF" w:rsidP="006334DF">
      <w:pPr>
        <w:rPr>
          <w:rFonts w:cstheme="minorHAnsi"/>
          <w:sz w:val="28"/>
        </w:rPr>
      </w:pPr>
    </w:p>
    <w:p w14:paraId="74A27E39" w14:textId="77777777" w:rsidR="006334DF" w:rsidRPr="00573B4D" w:rsidRDefault="006334DF" w:rsidP="006334DF">
      <w:pPr>
        <w:rPr>
          <w:rFonts w:cstheme="minorHAnsi"/>
          <w:b/>
          <w:sz w:val="32"/>
        </w:rPr>
      </w:pPr>
      <w:r w:rsidRPr="00573B4D">
        <w:rPr>
          <w:rFonts w:cstheme="minorHAnsi"/>
          <w:b/>
          <w:sz w:val="32"/>
        </w:rPr>
        <w:t>Scorecards and flexibility</w:t>
      </w:r>
    </w:p>
    <w:p w14:paraId="2DB2D381" w14:textId="012111DD" w:rsidR="006334DF" w:rsidRPr="00B77E3F" w:rsidRDefault="006334DF" w:rsidP="006334DF">
      <w:pPr>
        <w:rPr>
          <w:rFonts w:cstheme="minorHAnsi"/>
          <w:sz w:val="28"/>
        </w:rPr>
      </w:pPr>
      <w:r w:rsidRPr="00B77E3F">
        <w:rPr>
          <w:rFonts w:cstheme="minorHAnsi"/>
          <w:sz w:val="28"/>
        </w:rPr>
        <w:t>The ORR’s requirement to be able to compare routes using scorecards and templates sits somewhat uneasily with Network Rail’s devolution and each route having ownership of its strategic plan and having the freedom to take a bespoke approach to reflect local circumstances.  There is the danger that the use of scoring and comparing routes becomes an end in itself rather than taking account of passenger and freight customer priorities.  We would cautiously welcome proposals in section 95 to reward high quality plans.</w:t>
      </w:r>
    </w:p>
    <w:p w14:paraId="4068C3F2" w14:textId="543D9344" w:rsidR="006334DF" w:rsidRPr="00B77E3F" w:rsidRDefault="006334DF" w:rsidP="006334DF">
      <w:pPr>
        <w:rPr>
          <w:rFonts w:cstheme="minorHAnsi"/>
          <w:sz w:val="28"/>
        </w:rPr>
      </w:pPr>
    </w:p>
    <w:p w14:paraId="0E31EAB7" w14:textId="1C01824A" w:rsidR="006334DF" w:rsidRPr="00573B4D" w:rsidRDefault="006334DF" w:rsidP="006334DF">
      <w:pPr>
        <w:rPr>
          <w:rFonts w:cstheme="minorHAnsi"/>
          <w:b/>
          <w:sz w:val="32"/>
        </w:rPr>
      </w:pPr>
      <w:r w:rsidRPr="00573B4D">
        <w:rPr>
          <w:rFonts w:cstheme="minorHAnsi"/>
          <w:b/>
          <w:sz w:val="32"/>
        </w:rPr>
        <w:t>Enhancements, efficiency and value for money</w:t>
      </w:r>
    </w:p>
    <w:p w14:paraId="04E3C810" w14:textId="4809B0F7" w:rsidR="006334DF" w:rsidRDefault="006334DF" w:rsidP="006334DF">
      <w:pPr>
        <w:rPr>
          <w:rFonts w:cstheme="minorHAnsi"/>
          <w:sz w:val="28"/>
        </w:rPr>
      </w:pPr>
      <w:r w:rsidRPr="00B77E3F">
        <w:rPr>
          <w:rFonts w:cstheme="minorHAnsi"/>
          <w:sz w:val="28"/>
        </w:rPr>
        <w:t xml:space="preserve">The draft guidance emphasises renewing the network, maintenance, asset sustainability and improving capability and efficiency but with little priority attached to enhancements.  This is disappointing.  Given the high levels of passenger growth indicated above simply making the best use of existing infrastructure is not going to be sufficient to meet future demands.  Enhancements should be a key issue for Table 2 and the overarching criteria in section 94 in the guidance.  If there are to be no or limited enhancements, and section 45 clearly indicates funding will be constrained, then the SBPs need to be explicit and transparent about what can and can’t be afforded and what the impact on passengers will be.  </w:t>
      </w:r>
    </w:p>
    <w:p w14:paraId="3A3A3BB9" w14:textId="4B354419" w:rsidR="003B391E" w:rsidRPr="00B77E3F" w:rsidRDefault="003B391E" w:rsidP="006334DF">
      <w:pPr>
        <w:rPr>
          <w:rFonts w:cstheme="minorHAnsi"/>
          <w:sz w:val="28"/>
        </w:rPr>
      </w:pPr>
    </w:p>
    <w:p w14:paraId="317ED033" w14:textId="77777777" w:rsidR="006334DF" w:rsidRPr="00B77E3F" w:rsidRDefault="006334DF" w:rsidP="006334DF">
      <w:pPr>
        <w:rPr>
          <w:rFonts w:cstheme="minorHAnsi"/>
          <w:sz w:val="28"/>
        </w:rPr>
      </w:pPr>
    </w:p>
    <w:p w14:paraId="69060BD1" w14:textId="55823E62" w:rsidR="006334DF" w:rsidRDefault="006334DF" w:rsidP="006334DF">
      <w:pPr>
        <w:rPr>
          <w:rFonts w:cstheme="minorHAnsi"/>
          <w:sz w:val="28"/>
        </w:rPr>
      </w:pPr>
      <w:r w:rsidRPr="00B77E3F">
        <w:rPr>
          <w:rFonts w:cstheme="minorHAnsi"/>
          <w:sz w:val="28"/>
        </w:rPr>
        <w:t xml:space="preserve">Missing from the need in section 53 for Network Rail to achieve greater efficiency and cost effectiveness for funders is the issue of value for money and timely delivery.  Both are fundamental if more third party investment is to be attracted to the rail network.  In the light of delays to and the spiralling costs of </w:t>
      </w:r>
      <w:r w:rsidR="003B391E">
        <w:rPr>
          <w:rFonts w:cstheme="minorHAnsi"/>
          <w:noProof/>
          <w:sz w:val="28"/>
          <w:lang w:eastAsia="en-GB"/>
        </w:rPr>
        <w:lastRenderedPageBreak/>
        <w:drawing>
          <wp:anchor distT="0" distB="0" distL="114300" distR="114300" simplePos="0" relativeHeight="251661312" behindDoc="1" locked="0" layoutInCell="1" allowOverlap="1" wp14:anchorId="00D0B476" wp14:editId="1CE74785">
            <wp:simplePos x="0" y="0"/>
            <wp:positionH relativeFrom="column">
              <wp:posOffset>-2303780</wp:posOffset>
            </wp:positionH>
            <wp:positionV relativeFrom="paragraph">
              <wp:posOffset>-1303655</wp:posOffset>
            </wp:positionV>
            <wp:extent cx="7154545" cy="5198745"/>
            <wp:effectExtent l="0" t="0" r="825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 v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54545" cy="5198745"/>
                    </a:xfrm>
                    <a:prstGeom prst="rect">
                      <a:avLst/>
                    </a:prstGeom>
                  </pic:spPr>
                </pic:pic>
              </a:graphicData>
            </a:graphic>
            <wp14:sizeRelH relativeFrom="page">
              <wp14:pctWidth>0</wp14:pctWidth>
            </wp14:sizeRelH>
            <wp14:sizeRelV relativeFrom="page">
              <wp14:pctHeight>0</wp14:pctHeight>
            </wp14:sizeRelV>
          </wp:anchor>
        </w:drawing>
      </w:r>
      <w:r w:rsidRPr="00B77E3F">
        <w:rPr>
          <w:rFonts w:cstheme="minorHAnsi"/>
          <w:sz w:val="28"/>
        </w:rPr>
        <w:t>the electrification of the Great Western Main Line this is all the more important.</w:t>
      </w:r>
    </w:p>
    <w:p w14:paraId="28F2F80B" w14:textId="77777777" w:rsidR="003B391E" w:rsidRPr="00B77E3F" w:rsidRDefault="003B391E" w:rsidP="006334DF">
      <w:pPr>
        <w:rPr>
          <w:rFonts w:cstheme="minorHAnsi"/>
          <w:sz w:val="28"/>
        </w:rPr>
      </w:pPr>
    </w:p>
    <w:p w14:paraId="28004238" w14:textId="0FF387B8" w:rsidR="006334DF" w:rsidRPr="00B77E3F" w:rsidRDefault="006334DF" w:rsidP="00573B4D">
      <w:pPr>
        <w:spacing w:line="240" w:lineRule="auto"/>
        <w:rPr>
          <w:rFonts w:cstheme="minorHAnsi"/>
          <w:sz w:val="28"/>
        </w:rPr>
      </w:pPr>
    </w:p>
    <w:p w14:paraId="282D1A2C" w14:textId="77777777" w:rsidR="003B391E" w:rsidRDefault="003B391E" w:rsidP="00573B4D">
      <w:pPr>
        <w:spacing w:line="240" w:lineRule="auto"/>
        <w:rPr>
          <w:rFonts w:ascii="Arial" w:hAnsi="Arial" w:cs="Arial"/>
          <w:sz w:val="24"/>
          <w:szCs w:val="24"/>
        </w:rPr>
      </w:pPr>
    </w:p>
    <w:p w14:paraId="6551E16C" w14:textId="77777777" w:rsidR="003B391E" w:rsidRDefault="003B391E" w:rsidP="00573B4D">
      <w:pPr>
        <w:spacing w:line="240" w:lineRule="auto"/>
        <w:rPr>
          <w:rFonts w:ascii="Arial" w:hAnsi="Arial" w:cs="Arial"/>
          <w:sz w:val="24"/>
          <w:szCs w:val="24"/>
        </w:rPr>
      </w:pPr>
    </w:p>
    <w:p w14:paraId="60486166" w14:textId="2F66ED7D" w:rsidR="00573B4D" w:rsidRDefault="00C747D0" w:rsidP="00573B4D">
      <w:pPr>
        <w:spacing w:line="240" w:lineRule="auto"/>
        <w:rPr>
          <w:rFonts w:ascii="Arial" w:hAnsi="Arial" w:cs="Arial"/>
          <w:sz w:val="24"/>
          <w:szCs w:val="24"/>
        </w:rPr>
      </w:pPr>
      <w:r w:rsidRPr="00C747D0">
        <w:rPr>
          <w:rFonts w:ascii="Arial" w:hAnsi="Arial" w:cs="Arial"/>
          <w:sz w:val="24"/>
          <w:szCs w:val="24"/>
        </w:rPr>
        <w:t>Vinita Nawathe</w:t>
      </w:r>
      <w:r w:rsidR="00573B4D">
        <w:rPr>
          <w:rFonts w:ascii="Arial" w:hAnsi="Arial" w:cs="Arial"/>
          <w:sz w:val="24"/>
          <w:szCs w:val="24"/>
        </w:rPr>
        <w:tab/>
      </w:r>
      <w:r w:rsidR="00573B4D">
        <w:rPr>
          <w:rFonts w:ascii="Arial" w:hAnsi="Arial" w:cs="Arial"/>
          <w:sz w:val="24"/>
          <w:szCs w:val="24"/>
        </w:rPr>
        <w:tab/>
      </w:r>
      <w:r w:rsidR="00573B4D">
        <w:rPr>
          <w:rFonts w:ascii="Arial" w:hAnsi="Arial" w:cs="Arial"/>
          <w:sz w:val="24"/>
          <w:szCs w:val="24"/>
        </w:rPr>
        <w:tab/>
      </w:r>
      <w:r w:rsidR="00573B4D">
        <w:rPr>
          <w:rFonts w:ascii="Arial" w:hAnsi="Arial" w:cs="Arial"/>
          <w:sz w:val="24"/>
          <w:szCs w:val="24"/>
        </w:rPr>
        <w:tab/>
      </w:r>
      <w:r w:rsidR="00573B4D">
        <w:rPr>
          <w:rFonts w:ascii="Arial" w:hAnsi="Arial" w:cs="Arial"/>
          <w:sz w:val="24"/>
          <w:szCs w:val="24"/>
        </w:rPr>
        <w:tab/>
      </w:r>
      <w:r w:rsidR="00B830AA">
        <w:rPr>
          <w:rFonts w:ascii="Arial" w:hAnsi="Arial" w:cs="Arial"/>
          <w:sz w:val="24"/>
          <w:szCs w:val="24"/>
        </w:rPr>
        <w:tab/>
      </w:r>
      <w:r w:rsidR="00B830AA">
        <w:rPr>
          <w:rFonts w:ascii="Arial" w:hAnsi="Arial" w:cs="Arial"/>
          <w:sz w:val="24"/>
          <w:szCs w:val="24"/>
        </w:rPr>
        <w:tab/>
      </w:r>
      <w:r w:rsidR="00573B4D" w:rsidRPr="00573B4D">
        <w:rPr>
          <w:rFonts w:ascii="Arial" w:hAnsi="Arial" w:cs="Arial"/>
          <w:sz w:val="24"/>
          <w:szCs w:val="24"/>
        </w:rPr>
        <w:t>11 January 2017</w:t>
      </w:r>
    </w:p>
    <w:p w14:paraId="1141EB77" w14:textId="77777777" w:rsidR="003B391E" w:rsidRDefault="003B391E" w:rsidP="00573B4D">
      <w:pPr>
        <w:spacing w:line="240" w:lineRule="auto"/>
        <w:rPr>
          <w:rFonts w:ascii="Arial" w:hAnsi="Arial" w:cs="Arial"/>
          <w:sz w:val="24"/>
          <w:szCs w:val="24"/>
        </w:rPr>
      </w:pPr>
    </w:p>
    <w:p w14:paraId="0ADDD11D" w14:textId="1B8CF94A" w:rsidR="00E10F62" w:rsidRPr="00573B4D" w:rsidRDefault="00C747D0" w:rsidP="00573B4D">
      <w:pPr>
        <w:spacing w:line="240" w:lineRule="auto"/>
        <w:rPr>
          <w:rFonts w:ascii="Arial" w:hAnsi="Arial" w:cs="Arial"/>
          <w:sz w:val="24"/>
          <w:szCs w:val="24"/>
        </w:rPr>
      </w:pPr>
      <w:r w:rsidRPr="00C747D0">
        <w:rPr>
          <w:rFonts w:ascii="Arial" w:hAnsi="Arial" w:cs="Arial"/>
          <w:sz w:val="24"/>
          <w:szCs w:val="24"/>
        </w:rPr>
        <w:t>Chair</w:t>
      </w:r>
      <w:r w:rsidR="00573B4D">
        <w:rPr>
          <w:rFonts w:ascii="Arial" w:hAnsi="Arial" w:cs="Arial"/>
          <w:sz w:val="24"/>
          <w:szCs w:val="24"/>
        </w:rPr>
        <w:t xml:space="preserve">, </w:t>
      </w:r>
      <w:r w:rsidR="00D5647C" w:rsidRPr="00C747D0">
        <w:rPr>
          <w:rFonts w:eastAsia="Times New Roman" w:cstheme="minorHAnsi"/>
          <w:color w:val="000000"/>
          <w:sz w:val="24"/>
          <w:szCs w:val="24"/>
          <w:lang w:eastAsia="en-GB"/>
        </w:rPr>
        <w:t>TravelWatch SouthWest CIC</w:t>
      </w:r>
    </w:p>
    <w:p w14:paraId="14934A12" w14:textId="77777777" w:rsidR="00573B4D" w:rsidRDefault="00573B4D" w:rsidP="00573B4D">
      <w:pPr>
        <w:shd w:val="clear" w:color="auto" w:fill="FFFFFF"/>
        <w:spacing w:after="0" w:line="240" w:lineRule="auto"/>
        <w:rPr>
          <w:rFonts w:eastAsia="Times New Roman" w:cstheme="minorHAnsi"/>
          <w:color w:val="000000"/>
          <w:sz w:val="24"/>
          <w:szCs w:val="24"/>
          <w:lang w:eastAsia="en-GB"/>
        </w:rPr>
      </w:pPr>
      <w:hyperlink r:id="rId11" w:history="1">
        <w:r w:rsidRPr="00573B4D">
          <w:rPr>
            <w:rStyle w:val="Hyperlink"/>
            <w:rFonts w:eastAsia="Times New Roman" w:cstheme="minorHAnsi"/>
            <w:sz w:val="24"/>
            <w:szCs w:val="24"/>
            <w:lang w:eastAsia="en-GB"/>
          </w:rPr>
          <w:t>secretary@travelwatchsouthwest.org</w:t>
        </w:r>
      </w:hyperlink>
    </w:p>
    <w:p w14:paraId="6A5D6E65" w14:textId="77777777" w:rsidR="00B830AA" w:rsidRPr="00573B4D" w:rsidRDefault="00B830AA" w:rsidP="00573B4D">
      <w:pPr>
        <w:shd w:val="clear" w:color="auto" w:fill="FFFFFF"/>
        <w:spacing w:after="0" w:line="240" w:lineRule="auto"/>
        <w:rPr>
          <w:rFonts w:eastAsia="Times New Roman" w:cstheme="minorHAnsi"/>
          <w:color w:val="000000"/>
          <w:sz w:val="24"/>
          <w:szCs w:val="24"/>
          <w:lang w:eastAsia="en-GB"/>
        </w:rPr>
      </w:pPr>
    </w:p>
    <w:p w14:paraId="321AFE29" w14:textId="77777777" w:rsidR="00E10F62" w:rsidRDefault="00E10F62" w:rsidP="00617B94">
      <w:pPr>
        <w:shd w:val="clear" w:color="auto" w:fill="FFFFFF"/>
        <w:spacing w:after="0" w:line="240" w:lineRule="auto"/>
        <w:rPr>
          <w:rFonts w:ascii="Helvetica" w:eastAsia="Times New Roman" w:hAnsi="Helvetica" w:cs="Helvetica"/>
          <w:color w:val="000000"/>
          <w:sz w:val="24"/>
          <w:szCs w:val="24"/>
          <w:lang w:eastAsia="en-GB"/>
        </w:rPr>
      </w:pPr>
    </w:p>
    <w:p w14:paraId="6FAF78DA"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39BC4499"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6A06FBC"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53EB4415"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39FA9BB"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1F3F2515"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547E484E"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BA8C296"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643DBDB2"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2FA34143"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250B7AE3"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44761E3F"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273312E"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18326078"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5FAB9C42"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55967774"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8717110"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30B3714"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604C9996"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75ACE67C"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5130F79"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47454224"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470726DC"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786AA035"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254D5C86" w14:textId="77777777" w:rsidR="003B391E" w:rsidRDefault="003B391E" w:rsidP="00573B4D">
      <w:pPr>
        <w:spacing w:after="0" w:line="276" w:lineRule="auto"/>
        <w:ind w:left="2160" w:firstLine="720"/>
      </w:pPr>
    </w:p>
    <w:p w14:paraId="605937A5" w14:textId="77777777" w:rsidR="00D5647C" w:rsidRDefault="00804380" w:rsidP="00573B4D">
      <w:pPr>
        <w:spacing w:after="0" w:line="276" w:lineRule="auto"/>
        <w:ind w:left="2160" w:firstLine="720"/>
        <w:rPr>
          <w:rStyle w:val="Hyperlink"/>
          <w:b/>
          <w:sz w:val="28"/>
          <w:szCs w:val="28"/>
        </w:rPr>
      </w:pPr>
      <w:hyperlink r:id="rId12" w:history="1">
        <w:r w:rsidR="00D5647C" w:rsidRPr="00900001">
          <w:rPr>
            <w:rStyle w:val="Hyperlink"/>
            <w:b/>
            <w:sz w:val="28"/>
            <w:szCs w:val="28"/>
          </w:rPr>
          <w:t>www.travelwatchsouthwest.org</w:t>
        </w:r>
      </w:hyperlink>
    </w:p>
    <w:p w14:paraId="2D910CBD" w14:textId="77777777" w:rsidR="003B391E" w:rsidRDefault="003B391E" w:rsidP="00573B4D">
      <w:pPr>
        <w:spacing w:after="0" w:line="276" w:lineRule="auto"/>
        <w:ind w:left="2160" w:firstLine="720"/>
        <w:rPr>
          <w:b/>
          <w:sz w:val="28"/>
          <w:szCs w:val="28"/>
        </w:rPr>
      </w:pPr>
    </w:p>
    <w:p w14:paraId="59E108B8" w14:textId="77777777" w:rsidR="003B391E" w:rsidRDefault="003B391E" w:rsidP="00573B4D">
      <w:pPr>
        <w:shd w:val="clear" w:color="auto" w:fill="FEFEFE"/>
        <w:spacing w:after="0" w:line="240" w:lineRule="auto"/>
        <w:jc w:val="center"/>
        <w:rPr>
          <w:rFonts w:eastAsia="Times New Roman" w:cs="Times New Roman"/>
          <w:sz w:val="21"/>
          <w:szCs w:val="21"/>
          <w:lang w:eastAsia="en-GB"/>
        </w:rPr>
      </w:pPr>
      <w:r>
        <w:rPr>
          <w:rFonts w:eastAsia="Times New Roman" w:cs="Times New Roman"/>
          <w:sz w:val="21"/>
          <w:szCs w:val="21"/>
          <w:lang w:eastAsia="en-GB"/>
        </w:rPr>
        <w:t>Directors: Nick Buckland; Frank Chambers; Tim Davies; Graham Ellis, Richard Gamble; Christopher Irwin; Cate Le Grice Mack; Vinita Nawathe; James White</w:t>
      </w:r>
    </w:p>
    <w:p w14:paraId="1CBCAD1E" w14:textId="291853A3" w:rsidR="00D5647C" w:rsidRPr="00A96990" w:rsidRDefault="003B391E" w:rsidP="00573B4D">
      <w:pPr>
        <w:shd w:val="clear" w:color="auto" w:fill="FEFEFE"/>
        <w:spacing w:after="0" w:line="240" w:lineRule="auto"/>
        <w:jc w:val="center"/>
        <w:rPr>
          <w:rFonts w:eastAsia="Times New Roman" w:cs="Times New Roman"/>
          <w:sz w:val="21"/>
          <w:szCs w:val="21"/>
          <w:lang w:eastAsia="en-GB"/>
        </w:rPr>
      </w:pPr>
      <w:r>
        <w:rPr>
          <w:rFonts w:eastAsia="Times New Roman" w:cs="Times New Roman"/>
          <w:sz w:val="21"/>
          <w:szCs w:val="21"/>
          <w:lang w:eastAsia="en-GB"/>
        </w:rPr>
        <w:t xml:space="preserve"> </w:t>
      </w:r>
      <w:r w:rsidR="00D5647C" w:rsidRPr="00A96990">
        <w:rPr>
          <w:rFonts w:eastAsia="Times New Roman" w:cs="Times New Roman"/>
          <w:sz w:val="21"/>
          <w:szCs w:val="21"/>
          <w:lang w:eastAsia="en-GB"/>
        </w:rPr>
        <w:t>TravelWatch SouthWest CIC is a company limited by guarantee.</w:t>
      </w:r>
      <w:r w:rsidR="00573B4D">
        <w:rPr>
          <w:rFonts w:eastAsia="Times New Roman" w:cs="Times New Roman"/>
          <w:sz w:val="21"/>
          <w:szCs w:val="21"/>
          <w:lang w:eastAsia="en-GB"/>
        </w:rPr>
        <w:t xml:space="preserve"> </w:t>
      </w:r>
      <w:r w:rsidR="00D5647C" w:rsidRPr="00A96990">
        <w:rPr>
          <w:rFonts w:eastAsia="Times New Roman" w:cs="Times New Roman"/>
          <w:sz w:val="21"/>
          <w:szCs w:val="21"/>
          <w:lang w:eastAsia="en-GB"/>
        </w:rPr>
        <w:t>Registration Number: </w:t>
      </w:r>
      <w:hyperlink r:id="rId13" w:history="1">
        <w:r w:rsidR="00D5647C" w:rsidRPr="00A96990">
          <w:rPr>
            <w:rFonts w:eastAsia="Times New Roman" w:cs="Times New Roman"/>
            <w:sz w:val="21"/>
            <w:szCs w:val="21"/>
            <w:lang w:eastAsia="en-GB"/>
          </w:rPr>
          <w:t>5542697</w:t>
        </w:r>
      </w:hyperlink>
    </w:p>
    <w:p w14:paraId="0D4A1C9C" w14:textId="77777777" w:rsidR="00D5647C" w:rsidRPr="00A96990" w:rsidRDefault="00D5647C" w:rsidP="00D5647C">
      <w:pPr>
        <w:shd w:val="clear" w:color="auto" w:fill="FEFEFE"/>
        <w:spacing w:after="0" w:line="240" w:lineRule="auto"/>
        <w:jc w:val="center"/>
        <w:rPr>
          <w:rFonts w:eastAsia="Times New Roman" w:cs="Times New Roman"/>
          <w:sz w:val="21"/>
          <w:szCs w:val="21"/>
          <w:lang w:eastAsia="en-GB"/>
        </w:rPr>
      </w:pPr>
      <w:r w:rsidRPr="00A96990">
        <w:rPr>
          <w:rFonts w:eastAsia="Times New Roman" w:cs="Times New Roman"/>
          <w:sz w:val="21"/>
          <w:szCs w:val="21"/>
          <w:lang w:eastAsia="en-GB"/>
        </w:rPr>
        <w:t>Registered Office: The Old Carriage Works, Moresk Road, Truro, Cornwall TR1 1DG</w:t>
      </w:r>
    </w:p>
    <w:p w14:paraId="006E349B" w14:textId="3DE45FB0" w:rsidR="00E10F62" w:rsidRPr="00E10F62" w:rsidRDefault="00E10F62" w:rsidP="00617B94">
      <w:pPr>
        <w:shd w:val="clear" w:color="auto" w:fill="FFFFFF"/>
        <w:spacing w:after="0" w:line="240" w:lineRule="auto"/>
        <w:rPr>
          <w:rFonts w:ascii="Helvetica" w:eastAsia="Times New Roman" w:hAnsi="Helvetica" w:cs="Helvetica"/>
          <w:color w:val="000000"/>
          <w:sz w:val="24"/>
          <w:szCs w:val="24"/>
          <w:lang w:eastAsia="en-GB"/>
        </w:rPr>
      </w:pPr>
    </w:p>
    <w:sectPr w:rsidR="00E10F62" w:rsidRPr="00E10F62" w:rsidSect="00B830AA">
      <w:footerReference w:type="default" r:id="rId14"/>
      <w:headerReference w:type="first" r:id="rId15"/>
      <w:pgSz w:w="11906" w:h="16838"/>
      <w:pgMar w:top="1440" w:right="1440" w:bottom="1440" w:left="1440" w:header="708" w:footer="283"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6594B" w14:textId="77777777" w:rsidR="00804380" w:rsidRDefault="00804380" w:rsidP="0011162E">
      <w:pPr>
        <w:spacing w:after="0" w:line="240" w:lineRule="auto"/>
      </w:pPr>
      <w:r>
        <w:separator/>
      </w:r>
    </w:p>
  </w:endnote>
  <w:endnote w:type="continuationSeparator" w:id="0">
    <w:p w14:paraId="6ECD97CB" w14:textId="77777777" w:rsidR="00804380" w:rsidRDefault="00804380" w:rsidP="00111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349199"/>
      <w:docPartObj>
        <w:docPartGallery w:val="Page Numbers (Bottom of Page)"/>
        <w:docPartUnique/>
      </w:docPartObj>
    </w:sdtPr>
    <w:sdtEndPr>
      <w:rPr>
        <w:noProof/>
      </w:rPr>
    </w:sdtEndPr>
    <w:sdtContent>
      <w:p w14:paraId="008B3B37" w14:textId="77777777" w:rsidR="003E1DD0" w:rsidRDefault="003E1DD0">
        <w:pPr>
          <w:pStyle w:val="Footer"/>
          <w:jc w:val="right"/>
        </w:pPr>
        <w:r>
          <w:fldChar w:fldCharType="begin"/>
        </w:r>
        <w:r>
          <w:instrText xml:space="preserve"> PAGE   \* MERGEFORMAT </w:instrText>
        </w:r>
        <w:r>
          <w:fldChar w:fldCharType="separate"/>
        </w:r>
        <w:r w:rsidR="00DE440F">
          <w:rPr>
            <w:noProof/>
          </w:rPr>
          <w:t>6</w:t>
        </w:r>
        <w:r>
          <w:rPr>
            <w:noProof/>
          </w:rPr>
          <w:fldChar w:fldCharType="end"/>
        </w:r>
      </w:p>
    </w:sdtContent>
  </w:sdt>
  <w:p w14:paraId="15C450EC" w14:textId="77777777" w:rsidR="003E1DD0" w:rsidRDefault="003E1D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FAE99" w14:textId="77777777" w:rsidR="00804380" w:rsidRDefault="00804380" w:rsidP="0011162E">
      <w:pPr>
        <w:spacing w:after="0" w:line="240" w:lineRule="auto"/>
      </w:pPr>
      <w:r>
        <w:separator/>
      </w:r>
    </w:p>
  </w:footnote>
  <w:footnote w:type="continuationSeparator" w:id="0">
    <w:p w14:paraId="6FDB379D" w14:textId="77777777" w:rsidR="00804380" w:rsidRDefault="00804380" w:rsidP="001116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E3F64" w14:textId="66C3374C" w:rsidR="00C747D0" w:rsidRDefault="00C747D0">
    <w:pPr>
      <w:pStyle w:val="Header"/>
    </w:pPr>
  </w:p>
  <w:p w14:paraId="336B6FE4" w14:textId="77777777" w:rsidR="00C747D0" w:rsidRDefault="00C747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3137"/>
    <w:multiLevelType w:val="hybridMultilevel"/>
    <w:tmpl w:val="A62A0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F6F90"/>
    <w:multiLevelType w:val="hybridMultilevel"/>
    <w:tmpl w:val="8F401E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E612DE7"/>
    <w:multiLevelType w:val="hybridMultilevel"/>
    <w:tmpl w:val="762252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B50206"/>
    <w:multiLevelType w:val="hybridMultilevel"/>
    <w:tmpl w:val="88A6B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3A6257"/>
    <w:multiLevelType w:val="multilevel"/>
    <w:tmpl w:val="8236EA9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DA3D35"/>
    <w:multiLevelType w:val="hybridMultilevel"/>
    <w:tmpl w:val="A1BAE7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946D99"/>
    <w:multiLevelType w:val="hybridMultilevel"/>
    <w:tmpl w:val="7A64C0F8"/>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15:restartNumberingAfterBreak="0">
    <w:nsid w:val="3E1A3B15"/>
    <w:multiLevelType w:val="hybridMultilevel"/>
    <w:tmpl w:val="89D65472"/>
    <w:lvl w:ilvl="0" w:tplc="08090003">
      <w:start w:val="1"/>
      <w:numFmt w:val="bullet"/>
      <w:lvlText w:val="o"/>
      <w:lvlJc w:val="left"/>
      <w:pPr>
        <w:ind w:left="776" w:hanging="360"/>
      </w:pPr>
      <w:rPr>
        <w:rFonts w:ascii="Courier New" w:hAnsi="Courier New" w:cs="Courier New"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8" w15:restartNumberingAfterBreak="0">
    <w:nsid w:val="4A207836"/>
    <w:multiLevelType w:val="hybridMultilevel"/>
    <w:tmpl w:val="0FAED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9E6559"/>
    <w:multiLevelType w:val="multilevel"/>
    <w:tmpl w:val="BAD2B81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F5252A8"/>
    <w:multiLevelType w:val="hybridMultilevel"/>
    <w:tmpl w:val="85A0CC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64083"/>
    <w:multiLevelType w:val="hybridMultilevel"/>
    <w:tmpl w:val="66F8AF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267D72"/>
    <w:multiLevelType w:val="hybridMultilevel"/>
    <w:tmpl w:val="B874C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925991"/>
    <w:multiLevelType w:val="multilevel"/>
    <w:tmpl w:val="AA34396E"/>
    <w:lvl w:ilvl="0">
      <w:start w:val="1"/>
      <w:numFmt w:val="decimal"/>
      <w:lvlText w:val="%1)"/>
      <w:lvlJc w:val="left"/>
      <w:pPr>
        <w:ind w:left="1080" w:hanging="360"/>
      </w:pPr>
    </w:lvl>
    <w:lvl w:ilvl="1">
      <w:start w:val="1"/>
      <w:numFmt w:val="decimal"/>
      <w:lvlText w:val="%1.%2."/>
      <w:lvlJc w:val="left"/>
      <w:pPr>
        <w:ind w:left="1512" w:hanging="432"/>
      </w:pPr>
      <w:rPr>
        <w:b w:val="0"/>
      </w:rPr>
    </w:lvl>
    <w:lvl w:ilvl="2">
      <w:start w:val="1"/>
      <w:numFmt w:val="decimal"/>
      <w:lvlText w:val="%1.%2.%3."/>
      <w:lvlJc w:val="left"/>
      <w:pPr>
        <w:ind w:left="1944" w:hanging="504"/>
      </w:pPr>
      <w:rPr>
        <w:b w:val="0"/>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15:restartNumberingAfterBreak="0">
    <w:nsid w:val="774272D7"/>
    <w:multiLevelType w:val="hybridMultilevel"/>
    <w:tmpl w:val="23143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10"/>
  </w:num>
  <w:num w:numId="6">
    <w:abstractNumId w:val="7"/>
  </w:num>
  <w:num w:numId="7">
    <w:abstractNumId w:val="5"/>
  </w:num>
  <w:num w:numId="8">
    <w:abstractNumId w:val="11"/>
  </w:num>
  <w:num w:numId="9">
    <w:abstractNumId w:val="14"/>
  </w:num>
  <w:num w:numId="10">
    <w:abstractNumId w:val="3"/>
  </w:num>
  <w:num w:numId="11">
    <w:abstractNumId w:val="4"/>
  </w:num>
  <w:num w:numId="12">
    <w:abstractNumId w:val="1"/>
  </w:num>
  <w:num w:numId="13">
    <w:abstractNumId w:val="1"/>
  </w:num>
  <w:num w:numId="14">
    <w:abstractNumId w:val="9"/>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280"/>
    <w:rsid w:val="00022E38"/>
    <w:rsid w:val="00030567"/>
    <w:rsid w:val="00087368"/>
    <w:rsid w:val="001110C2"/>
    <w:rsid w:val="0011162E"/>
    <w:rsid w:val="001272E0"/>
    <w:rsid w:val="00195FE3"/>
    <w:rsid w:val="001A438C"/>
    <w:rsid w:val="001A5ECB"/>
    <w:rsid w:val="001A7045"/>
    <w:rsid w:val="002114B1"/>
    <w:rsid w:val="00242A60"/>
    <w:rsid w:val="00251C60"/>
    <w:rsid w:val="002743E7"/>
    <w:rsid w:val="002754F0"/>
    <w:rsid w:val="002D6726"/>
    <w:rsid w:val="002F70EA"/>
    <w:rsid w:val="002F742E"/>
    <w:rsid w:val="003247BF"/>
    <w:rsid w:val="003517A8"/>
    <w:rsid w:val="00357078"/>
    <w:rsid w:val="003766F9"/>
    <w:rsid w:val="00384048"/>
    <w:rsid w:val="00387924"/>
    <w:rsid w:val="0039696D"/>
    <w:rsid w:val="003B391E"/>
    <w:rsid w:val="003D0E83"/>
    <w:rsid w:val="003D579F"/>
    <w:rsid w:val="003E1DD0"/>
    <w:rsid w:val="004030E7"/>
    <w:rsid w:val="004231F9"/>
    <w:rsid w:val="004246F5"/>
    <w:rsid w:val="0044448A"/>
    <w:rsid w:val="00495223"/>
    <w:rsid w:val="004B21F8"/>
    <w:rsid w:val="004C7DC8"/>
    <w:rsid w:val="004E6C75"/>
    <w:rsid w:val="00501EE2"/>
    <w:rsid w:val="00502062"/>
    <w:rsid w:val="00516989"/>
    <w:rsid w:val="00522FB4"/>
    <w:rsid w:val="00532927"/>
    <w:rsid w:val="005439D7"/>
    <w:rsid w:val="00561829"/>
    <w:rsid w:val="00573B4D"/>
    <w:rsid w:val="00581F86"/>
    <w:rsid w:val="005A05E6"/>
    <w:rsid w:val="005B13A4"/>
    <w:rsid w:val="005D6533"/>
    <w:rsid w:val="006077D2"/>
    <w:rsid w:val="00617B94"/>
    <w:rsid w:val="00620743"/>
    <w:rsid w:val="0063010F"/>
    <w:rsid w:val="006334DF"/>
    <w:rsid w:val="00646856"/>
    <w:rsid w:val="00654460"/>
    <w:rsid w:val="00670D26"/>
    <w:rsid w:val="006759DC"/>
    <w:rsid w:val="006771B7"/>
    <w:rsid w:val="00691C07"/>
    <w:rsid w:val="006A588D"/>
    <w:rsid w:val="006B7B60"/>
    <w:rsid w:val="006D3B2E"/>
    <w:rsid w:val="006D5984"/>
    <w:rsid w:val="00717B34"/>
    <w:rsid w:val="00737FB5"/>
    <w:rsid w:val="00754ADA"/>
    <w:rsid w:val="00783832"/>
    <w:rsid w:val="0079011A"/>
    <w:rsid w:val="007A53C1"/>
    <w:rsid w:val="007D3031"/>
    <w:rsid w:val="00804380"/>
    <w:rsid w:val="008140C8"/>
    <w:rsid w:val="0082243C"/>
    <w:rsid w:val="00825C2B"/>
    <w:rsid w:val="008451D6"/>
    <w:rsid w:val="00863CF3"/>
    <w:rsid w:val="00874557"/>
    <w:rsid w:val="008921D4"/>
    <w:rsid w:val="008D0B5D"/>
    <w:rsid w:val="008D3524"/>
    <w:rsid w:val="008E01BD"/>
    <w:rsid w:val="008E58EF"/>
    <w:rsid w:val="00915F0B"/>
    <w:rsid w:val="009377B3"/>
    <w:rsid w:val="00984623"/>
    <w:rsid w:val="009867BC"/>
    <w:rsid w:val="00994EE5"/>
    <w:rsid w:val="009A0FF4"/>
    <w:rsid w:val="009B2FAB"/>
    <w:rsid w:val="009D5FD4"/>
    <w:rsid w:val="00A5326C"/>
    <w:rsid w:val="00A62770"/>
    <w:rsid w:val="00A83A67"/>
    <w:rsid w:val="00AB3508"/>
    <w:rsid w:val="00AE2E19"/>
    <w:rsid w:val="00B02BD3"/>
    <w:rsid w:val="00B308AD"/>
    <w:rsid w:val="00B426D7"/>
    <w:rsid w:val="00B53B46"/>
    <w:rsid w:val="00B826DC"/>
    <w:rsid w:val="00B830AA"/>
    <w:rsid w:val="00B86AB0"/>
    <w:rsid w:val="00BA012B"/>
    <w:rsid w:val="00BA0FE6"/>
    <w:rsid w:val="00BB10AF"/>
    <w:rsid w:val="00BE0703"/>
    <w:rsid w:val="00BF4B29"/>
    <w:rsid w:val="00C1015E"/>
    <w:rsid w:val="00C22B16"/>
    <w:rsid w:val="00C369E1"/>
    <w:rsid w:val="00C747D0"/>
    <w:rsid w:val="00C92E79"/>
    <w:rsid w:val="00CA4300"/>
    <w:rsid w:val="00CD60D1"/>
    <w:rsid w:val="00CF0456"/>
    <w:rsid w:val="00CF4306"/>
    <w:rsid w:val="00D04DAD"/>
    <w:rsid w:val="00D32F74"/>
    <w:rsid w:val="00D5647C"/>
    <w:rsid w:val="00D753D1"/>
    <w:rsid w:val="00DC222E"/>
    <w:rsid w:val="00DC3EE7"/>
    <w:rsid w:val="00DE19B6"/>
    <w:rsid w:val="00DE440F"/>
    <w:rsid w:val="00E01369"/>
    <w:rsid w:val="00E10F62"/>
    <w:rsid w:val="00E27756"/>
    <w:rsid w:val="00E369DC"/>
    <w:rsid w:val="00E42052"/>
    <w:rsid w:val="00E552C4"/>
    <w:rsid w:val="00E80BA4"/>
    <w:rsid w:val="00E977AB"/>
    <w:rsid w:val="00EC19B3"/>
    <w:rsid w:val="00EC6ED8"/>
    <w:rsid w:val="00EE250B"/>
    <w:rsid w:val="00F167FB"/>
    <w:rsid w:val="00F20F91"/>
    <w:rsid w:val="00F2617F"/>
    <w:rsid w:val="00F4474B"/>
    <w:rsid w:val="00F51270"/>
    <w:rsid w:val="00F57280"/>
    <w:rsid w:val="00F75BC7"/>
    <w:rsid w:val="00F938B2"/>
    <w:rsid w:val="00F96AA2"/>
    <w:rsid w:val="00FB5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FE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25C2B"/>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280"/>
    <w:rPr>
      <w:color w:val="0563C1" w:themeColor="hyperlink"/>
      <w:u w:val="single"/>
    </w:rPr>
  </w:style>
  <w:style w:type="character" w:customStyle="1" w:styleId="Heading1Char">
    <w:name w:val="Heading 1 Char"/>
    <w:basedOn w:val="DefaultParagraphFont"/>
    <w:link w:val="Heading1"/>
    <w:uiPriority w:val="9"/>
    <w:rsid w:val="00825C2B"/>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E369DC"/>
    <w:pPr>
      <w:ind w:left="720"/>
      <w:contextualSpacing/>
    </w:pPr>
  </w:style>
  <w:style w:type="paragraph" w:styleId="FootnoteText">
    <w:name w:val="footnote text"/>
    <w:basedOn w:val="Normal"/>
    <w:link w:val="FootnoteTextChar"/>
    <w:uiPriority w:val="99"/>
    <w:semiHidden/>
    <w:unhideWhenUsed/>
    <w:rsid w:val="001116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162E"/>
    <w:rPr>
      <w:sz w:val="20"/>
      <w:szCs w:val="20"/>
    </w:rPr>
  </w:style>
  <w:style w:type="character" w:styleId="FootnoteReference">
    <w:name w:val="footnote reference"/>
    <w:basedOn w:val="DefaultParagraphFont"/>
    <w:uiPriority w:val="99"/>
    <w:semiHidden/>
    <w:unhideWhenUsed/>
    <w:rsid w:val="0011162E"/>
    <w:rPr>
      <w:vertAlign w:val="superscript"/>
    </w:rPr>
  </w:style>
  <w:style w:type="paragraph" w:styleId="NoSpacing">
    <w:name w:val="No Spacing"/>
    <w:link w:val="NoSpacingChar"/>
    <w:uiPriority w:val="1"/>
    <w:qFormat/>
    <w:rsid w:val="00617B9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B94"/>
    <w:rPr>
      <w:rFonts w:eastAsiaTheme="minorEastAsia"/>
      <w:lang w:val="en-US"/>
    </w:rPr>
  </w:style>
  <w:style w:type="character" w:styleId="CommentReference">
    <w:name w:val="annotation reference"/>
    <w:basedOn w:val="DefaultParagraphFont"/>
    <w:uiPriority w:val="99"/>
    <w:semiHidden/>
    <w:unhideWhenUsed/>
    <w:rsid w:val="00617B94"/>
    <w:rPr>
      <w:sz w:val="16"/>
      <w:szCs w:val="16"/>
    </w:rPr>
  </w:style>
  <w:style w:type="paragraph" w:styleId="CommentText">
    <w:name w:val="annotation text"/>
    <w:basedOn w:val="Normal"/>
    <w:link w:val="CommentTextChar"/>
    <w:uiPriority w:val="99"/>
    <w:semiHidden/>
    <w:unhideWhenUsed/>
    <w:rsid w:val="00617B94"/>
    <w:pPr>
      <w:spacing w:line="240" w:lineRule="auto"/>
    </w:pPr>
    <w:rPr>
      <w:sz w:val="20"/>
      <w:szCs w:val="20"/>
    </w:rPr>
  </w:style>
  <w:style w:type="character" w:customStyle="1" w:styleId="CommentTextChar">
    <w:name w:val="Comment Text Char"/>
    <w:basedOn w:val="DefaultParagraphFont"/>
    <w:link w:val="CommentText"/>
    <w:uiPriority w:val="99"/>
    <w:semiHidden/>
    <w:rsid w:val="00617B94"/>
    <w:rPr>
      <w:sz w:val="20"/>
      <w:szCs w:val="20"/>
    </w:rPr>
  </w:style>
  <w:style w:type="paragraph" w:styleId="CommentSubject">
    <w:name w:val="annotation subject"/>
    <w:basedOn w:val="CommentText"/>
    <w:next w:val="CommentText"/>
    <w:link w:val="CommentSubjectChar"/>
    <w:uiPriority w:val="99"/>
    <w:semiHidden/>
    <w:unhideWhenUsed/>
    <w:rsid w:val="00617B94"/>
    <w:rPr>
      <w:b/>
      <w:bCs/>
    </w:rPr>
  </w:style>
  <w:style w:type="character" w:customStyle="1" w:styleId="CommentSubjectChar">
    <w:name w:val="Comment Subject Char"/>
    <w:basedOn w:val="CommentTextChar"/>
    <w:link w:val="CommentSubject"/>
    <w:uiPriority w:val="99"/>
    <w:semiHidden/>
    <w:rsid w:val="00617B94"/>
    <w:rPr>
      <w:b/>
      <w:bCs/>
      <w:sz w:val="20"/>
      <w:szCs w:val="20"/>
    </w:rPr>
  </w:style>
  <w:style w:type="paragraph" w:styleId="BalloonText">
    <w:name w:val="Balloon Text"/>
    <w:basedOn w:val="Normal"/>
    <w:link w:val="BalloonTextChar"/>
    <w:uiPriority w:val="99"/>
    <w:semiHidden/>
    <w:unhideWhenUsed/>
    <w:rsid w:val="00617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B94"/>
    <w:rPr>
      <w:rFonts w:ascii="Segoe UI" w:hAnsi="Segoe UI" w:cs="Segoe UI"/>
      <w:sz w:val="18"/>
      <w:szCs w:val="18"/>
    </w:rPr>
  </w:style>
  <w:style w:type="paragraph" w:styleId="Header">
    <w:name w:val="header"/>
    <w:basedOn w:val="Normal"/>
    <w:link w:val="HeaderChar"/>
    <w:uiPriority w:val="99"/>
    <w:unhideWhenUsed/>
    <w:rsid w:val="001A70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7045"/>
  </w:style>
  <w:style w:type="paragraph" w:styleId="Footer">
    <w:name w:val="footer"/>
    <w:basedOn w:val="Normal"/>
    <w:link w:val="FooterChar"/>
    <w:uiPriority w:val="99"/>
    <w:unhideWhenUsed/>
    <w:rsid w:val="001A70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7045"/>
  </w:style>
  <w:style w:type="paragraph" w:styleId="NormalWeb">
    <w:name w:val="Normal (Web)"/>
    <w:basedOn w:val="Normal"/>
    <w:uiPriority w:val="99"/>
    <w:semiHidden/>
    <w:unhideWhenUsed/>
    <w:rsid w:val="00242A60"/>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909652">
      <w:bodyDiv w:val="1"/>
      <w:marLeft w:val="0"/>
      <w:marRight w:val="0"/>
      <w:marTop w:val="0"/>
      <w:marBottom w:val="0"/>
      <w:divBdr>
        <w:top w:val="none" w:sz="0" w:space="0" w:color="auto"/>
        <w:left w:val="none" w:sz="0" w:space="0" w:color="auto"/>
        <w:bottom w:val="none" w:sz="0" w:space="0" w:color="auto"/>
        <w:right w:val="none" w:sz="0" w:space="0" w:color="auto"/>
      </w:divBdr>
    </w:div>
    <w:div w:id="465394122">
      <w:bodyDiv w:val="1"/>
      <w:marLeft w:val="0"/>
      <w:marRight w:val="0"/>
      <w:marTop w:val="0"/>
      <w:marBottom w:val="0"/>
      <w:divBdr>
        <w:top w:val="none" w:sz="0" w:space="0" w:color="auto"/>
        <w:left w:val="none" w:sz="0" w:space="0" w:color="auto"/>
        <w:bottom w:val="none" w:sz="0" w:space="0" w:color="auto"/>
        <w:right w:val="none" w:sz="0" w:space="0" w:color="auto"/>
      </w:divBdr>
    </w:div>
    <w:div w:id="150570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tel:554269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avelwatchsouthwest.org"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y@travelwatchsouthwest.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7B0"/>
    <w:rsid w:val="00445CD8"/>
    <w:rsid w:val="00915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47BCCD59AE4BA0833BA75F2811F988">
    <w:name w:val="D847BCCD59AE4BA0833BA75F2811F988"/>
    <w:rsid w:val="00915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5BA43-27B4-4294-BBAC-692958511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1454</Words>
  <Characters>8290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Wessex Route Study Response TWSW</vt:lpstr>
    </vt:vector>
  </TitlesOfParts>
  <LinksUpToDate>false</LinksUpToDate>
  <CharactersWithSpaces>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Wessex Route Study Response TWSW</dc:title>
  <dc:subject>Wssex Route Study</dc:subject>
  <dc:creator/>
  <cp:lastModifiedBy/>
  <cp:revision>1</cp:revision>
  <dcterms:created xsi:type="dcterms:W3CDTF">2017-01-11T08:02:00Z</dcterms:created>
  <dcterms:modified xsi:type="dcterms:W3CDTF">2017-01-11T08:28:00Z</dcterms:modified>
</cp:coreProperties>
</file>