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77A5" w:rsidRDefault="00A67CBF">
      <w:pPr>
        <w:pStyle w:val="Heading1"/>
      </w:pPr>
      <w:bookmarkStart w:id="0" w:name="_GoBack"/>
      <w:bookmarkEnd w:id="0"/>
      <w:r>
        <w:rPr>
          <w:rFonts w:ascii="Helvetica" w:hAnsi="Helvetica" w:cs="Helvetica"/>
          <w:noProof/>
          <w:color w:val="333333"/>
        </w:rPr>
        <w:drawing>
          <wp:inline distT="0" distB="0" distL="0" distR="0">
            <wp:extent cx="4420611" cy="471949"/>
            <wp:effectExtent l="0" t="0" r="0" b="4301"/>
            <wp:docPr id="1" name="Picture 4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420611" cy="471949"/>
                    </a:xfrm>
                    <a:prstGeom prst="rect">
                      <a:avLst/>
                    </a:prstGeom>
                    <a:noFill/>
                    <a:ln>
                      <a:noFill/>
                      <a:prstDash/>
                    </a:ln>
                  </pic:spPr>
                </pic:pic>
              </a:graphicData>
            </a:graphic>
          </wp:inline>
        </w:drawing>
      </w:r>
    </w:p>
    <w:p w:rsidR="003477A5" w:rsidRDefault="003477A5">
      <w:pPr>
        <w:pStyle w:val="Heading1"/>
        <w:rPr>
          <w:rFonts w:ascii="Helvetica" w:hAnsi="Helvetica" w:cs="Helvetica"/>
          <w:color w:val="333333"/>
        </w:rPr>
      </w:pPr>
    </w:p>
    <w:p w:rsidR="003477A5" w:rsidRDefault="00A67CBF">
      <w:pPr>
        <w:pStyle w:val="Heading1"/>
        <w:rPr>
          <w:rFonts w:ascii="Helvetica" w:hAnsi="Helvetica" w:cs="Helvetica"/>
          <w:color w:val="333333"/>
        </w:rPr>
      </w:pPr>
      <w:r>
        <w:rPr>
          <w:rFonts w:ascii="Helvetica" w:hAnsi="Helvetica" w:cs="Helvetica"/>
          <w:color w:val="333333"/>
        </w:rPr>
        <w:t>Great Western franchise</w:t>
      </w:r>
    </w:p>
    <w:p w:rsidR="003477A5" w:rsidRDefault="00A67CBF">
      <w:r>
        <w:rPr>
          <w:rFonts w:ascii="Helvetica" w:hAnsi="Helvetica" w:cs="Helvetica"/>
          <w:b/>
          <w:bCs/>
          <w:color w:val="333333"/>
          <w:sz w:val="36"/>
          <w:szCs w:val="36"/>
        </w:rPr>
        <w:t xml:space="preserve">1. Personal details </w:t>
      </w:r>
    </w:p>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1. Your email. You don't need to provide an email address, but it will allow us to contact you if we have any queries regarding your response. Section 5.9 of the consultation document describes how we will process your information in line with the Freedom of Information Act 2000, and the Data Protection Act 1998. </w:t>
      </w:r>
    </w:p>
    <w:p w:rsidR="003477A5" w:rsidRDefault="003477A5">
      <w:pPr>
        <w:rPr>
          <w:rFonts w:ascii="Helvetica" w:hAnsi="Helvetica" w:cs="Helvetica"/>
          <w:color w:val="333333"/>
          <w:sz w:val="21"/>
          <w:szCs w:val="21"/>
        </w:rPr>
      </w:pPr>
    </w:p>
    <w:tbl>
      <w:tblPr>
        <w:tblW w:w="7500" w:type="dxa"/>
        <w:tblCellMar>
          <w:left w:w="10" w:type="dxa"/>
          <w:right w:w="10" w:type="dxa"/>
        </w:tblCellMar>
        <w:tblLook w:val="0000" w:firstRow="0" w:lastRow="0" w:firstColumn="0" w:lastColumn="0" w:noHBand="0" w:noVBand="0"/>
      </w:tblPr>
      <w:tblGrid>
        <w:gridCol w:w="7500"/>
      </w:tblGrid>
      <w:tr w:rsidR="003477A5">
        <w:tc>
          <w:tcPr>
            <w:tcW w:w="7500"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A67CBF">
            <w:pPr>
              <w:rPr>
                <w:rFonts w:ascii="Helvetica" w:hAnsi="Helvetica" w:cs="Helvetica"/>
                <w:color w:val="333333"/>
                <w:sz w:val="21"/>
                <w:szCs w:val="21"/>
              </w:rPr>
            </w:pPr>
            <w:r>
              <w:rPr>
                <w:rFonts w:ascii="Helvetica" w:hAnsi="Helvetica" w:cs="Helvetica"/>
                <w:color w:val="333333"/>
                <w:sz w:val="21"/>
                <w:szCs w:val="21"/>
              </w:rPr>
              <w:t> secretary@travelwatchsouthwest.org</w:t>
            </w:r>
          </w:p>
        </w:tc>
      </w:tr>
    </w:tbl>
    <w:p w:rsidR="003477A5" w:rsidRDefault="00A67CBF">
      <w:pPr>
        <w:rPr>
          <w:rFonts w:ascii="Helvetica" w:hAnsi="Helvetica" w:cs="Helvetica"/>
          <w:b/>
          <w:bCs/>
          <w:color w:val="333333"/>
          <w:sz w:val="36"/>
          <w:szCs w:val="36"/>
        </w:rPr>
      </w:pPr>
      <w:r>
        <w:rPr>
          <w:rFonts w:ascii="Helvetica" w:hAnsi="Helvetica" w:cs="Helvetica"/>
          <w:b/>
          <w:bCs/>
          <w:color w:val="333333"/>
          <w:sz w:val="36"/>
          <w:szCs w:val="36"/>
        </w:rPr>
        <w:t xml:space="preserve">2. About you </w:t>
      </w:r>
    </w:p>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pStyle w:val="Heading3"/>
        <w:spacing w:before="300"/>
      </w:pPr>
      <w:r>
        <w:rPr>
          <w:rFonts w:ascii="Helvetica" w:hAnsi="Helvetica" w:cs="Helvetica"/>
          <w:b/>
          <w:bCs/>
          <w:color w:val="333333"/>
          <w:sz w:val="21"/>
          <w:szCs w:val="21"/>
        </w:rPr>
        <w:t xml:space="preserve">2. Are you responding: </w:t>
      </w:r>
      <w:r>
        <w:rPr>
          <w:rStyle w:val="Strong"/>
          <w:rFonts w:ascii="Helvetica" w:hAnsi="Helvetica" w:cs="Helvetica"/>
          <w:color w:val="333333"/>
          <w:sz w:val="21"/>
          <w:szCs w:val="21"/>
        </w:rPr>
        <w:t>*</w:t>
      </w:r>
    </w:p>
    <w:p w:rsidR="003477A5" w:rsidRDefault="003477A5">
      <w:pPr>
        <w:rPr>
          <w:rFonts w:ascii="Helvetica" w:hAnsi="Helvetica" w:cs="Helvetica"/>
          <w:color w:val="333333"/>
          <w:sz w:val="21"/>
          <w:szCs w:val="21"/>
        </w:rPr>
      </w:pPr>
    </w:p>
    <w:tbl>
      <w:tblPr>
        <w:tblW w:w="6505" w:type="dxa"/>
        <w:tblCellMar>
          <w:left w:w="10" w:type="dxa"/>
          <w:right w:w="10" w:type="dxa"/>
        </w:tblCellMar>
        <w:tblLook w:val="0000" w:firstRow="0" w:lastRow="0" w:firstColumn="0" w:lastColumn="0" w:noHBand="0" w:noVBand="0"/>
      </w:tblPr>
      <w:tblGrid>
        <w:gridCol w:w="548"/>
        <w:gridCol w:w="5957"/>
      </w:tblGrid>
      <w:tr w:rsidR="003477A5">
        <w:trPr>
          <w:trHeight w:val="379"/>
        </w:trPr>
        <w:tc>
          <w:tcPr>
            <w:tcW w:w="548" w:type="dxa"/>
            <w:shd w:val="clear" w:color="auto" w:fill="auto"/>
            <w:tcMar>
              <w:top w:w="0" w:type="dxa"/>
              <w:left w:w="0" w:type="dxa"/>
              <w:bottom w:w="0" w:type="dxa"/>
              <w:right w:w="0" w:type="dxa"/>
            </w:tcMar>
          </w:tcPr>
          <w:p w:rsidR="003477A5" w:rsidRDefault="00A67CBF">
            <w:r>
              <w:rPr>
                <w:rFonts w:ascii="Helvetica" w:hAnsi="Helvetica" w:cs="Helvetica"/>
                <w:color w:val="333333"/>
                <w:sz w:val="21"/>
                <w:szCs w:val="21"/>
              </w:rPr>
              <w:t>  </w:t>
            </w:r>
          </w:p>
        </w:tc>
        <w:tc>
          <w:tcPr>
            <w:tcW w:w="5957" w:type="dxa"/>
            <w:shd w:val="clear" w:color="auto" w:fill="auto"/>
            <w:tcMar>
              <w:top w:w="0" w:type="dxa"/>
              <w:left w:w="0" w:type="dxa"/>
              <w:bottom w:w="0" w:type="dxa"/>
              <w:right w:w="0" w:type="dxa"/>
            </w:tcMar>
            <w:vAlign w:val="center"/>
          </w:tcPr>
          <w:p w:rsidR="003477A5" w:rsidRDefault="00A67CBF">
            <w:pPr>
              <w:rPr>
                <w:rFonts w:ascii="Helvetica" w:hAnsi="Helvetica" w:cs="Helvetica"/>
                <w:color w:val="333333"/>
                <w:sz w:val="21"/>
                <w:szCs w:val="21"/>
              </w:rPr>
            </w:pPr>
            <w:r>
              <w:rPr>
                <w:rFonts w:ascii="Helvetica" w:hAnsi="Helvetica" w:cs="Helvetica"/>
                <w:color w:val="333333"/>
                <w:sz w:val="21"/>
                <w:szCs w:val="21"/>
              </w:rPr>
              <w:t>as an individual? (Go to 4.Your travel)</w:t>
            </w:r>
          </w:p>
        </w:tc>
      </w:tr>
      <w:tr w:rsidR="003477A5">
        <w:trPr>
          <w:trHeight w:val="506"/>
        </w:trPr>
        <w:tc>
          <w:tcPr>
            <w:tcW w:w="548" w:type="dxa"/>
            <w:shd w:val="clear" w:color="auto" w:fill="auto"/>
            <w:tcMar>
              <w:top w:w="0" w:type="dxa"/>
              <w:left w:w="0" w:type="dxa"/>
              <w:bottom w:w="0" w:type="dxa"/>
              <w:right w:w="0" w:type="dxa"/>
            </w:tcMar>
          </w:tcPr>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r>
              <w:rPr>
                <w:rFonts w:ascii="Helvetica" w:hAnsi="Helvetica" w:cs="Helvetica"/>
                <w:color w:val="333333"/>
                <w:sz w:val="21"/>
                <w:szCs w:val="21"/>
              </w:rPr>
              <w:t>X</w:t>
            </w:r>
          </w:p>
        </w:tc>
        <w:tc>
          <w:tcPr>
            <w:tcW w:w="5957" w:type="dxa"/>
            <w:shd w:val="clear" w:color="auto" w:fill="auto"/>
            <w:tcMar>
              <w:top w:w="0" w:type="dxa"/>
              <w:left w:w="0" w:type="dxa"/>
              <w:bottom w:w="0" w:type="dxa"/>
              <w:right w:w="0" w:type="dxa"/>
            </w:tcMar>
            <w:vAlign w:val="center"/>
          </w:tcPr>
          <w:p w:rsidR="003477A5" w:rsidRDefault="00A67CBF">
            <w:pPr>
              <w:rPr>
                <w:rFonts w:ascii="Helvetica" w:hAnsi="Helvetica" w:cs="Helvetica"/>
                <w:color w:val="333333"/>
                <w:sz w:val="21"/>
                <w:szCs w:val="21"/>
              </w:rPr>
            </w:pPr>
            <w:r>
              <w:rPr>
                <w:rFonts w:ascii="Helvetica" w:hAnsi="Helvetica" w:cs="Helvetica"/>
                <w:color w:val="333333"/>
                <w:sz w:val="21"/>
                <w:szCs w:val="21"/>
              </w:rPr>
              <w:t>on behalf of an organisation? (go to 3. Organisational details)</w:t>
            </w:r>
          </w:p>
        </w:tc>
      </w:tr>
    </w:tbl>
    <w:p w:rsidR="003477A5" w:rsidRDefault="00A67CBF">
      <w:pPr>
        <w:rPr>
          <w:rFonts w:ascii="Helvetica" w:hAnsi="Helvetica" w:cs="Helvetica"/>
          <w:b/>
          <w:bCs/>
          <w:color w:val="333333"/>
          <w:sz w:val="36"/>
          <w:szCs w:val="36"/>
        </w:rPr>
      </w:pPr>
      <w:r>
        <w:rPr>
          <w:rFonts w:ascii="Helvetica" w:hAnsi="Helvetica" w:cs="Helvetica"/>
          <w:b/>
          <w:bCs/>
          <w:color w:val="333333"/>
          <w:sz w:val="36"/>
          <w:szCs w:val="36"/>
        </w:rPr>
        <w:t xml:space="preserve">3. Organisational details </w:t>
      </w:r>
    </w:p>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3. Your organisation name. </w:t>
      </w:r>
    </w:p>
    <w:p w:rsidR="003477A5" w:rsidRDefault="003477A5">
      <w:pPr>
        <w:rPr>
          <w:rFonts w:ascii="Helvetica" w:hAnsi="Helvetica" w:cs="Helvetica"/>
          <w:color w:val="333333"/>
          <w:sz w:val="21"/>
          <w:szCs w:val="21"/>
        </w:rPr>
      </w:pPr>
    </w:p>
    <w:tbl>
      <w:tblPr>
        <w:tblW w:w="7500" w:type="dxa"/>
        <w:tblCellMar>
          <w:left w:w="10" w:type="dxa"/>
          <w:right w:w="10" w:type="dxa"/>
        </w:tblCellMar>
        <w:tblLook w:val="0000" w:firstRow="0" w:lastRow="0" w:firstColumn="0" w:lastColumn="0" w:noHBand="0" w:noVBand="0"/>
      </w:tblPr>
      <w:tblGrid>
        <w:gridCol w:w="7500"/>
      </w:tblGrid>
      <w:tr w:rsidR="003477A5">
        <w:tc>
          <w:tcPr>
            <w:tcW w:w="7500"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A67CBF">
            <w:pPr>
              <w:rPr>
                <w:rFonts w:ascii="Helvetica" w:hAnsi="Helvetica" w:cs="Helvetica"/>
                <w:color w:val="333333"/>
                <w:sz w:val="21"/>
                <w:szCs w:val="21"/>
              </w:rPr>
            </w:pPr>
            <w:r>
              <w:rPr>
                <w:rFonts w:ascii="Helvetica" w:hAnsi="Helvetica" w:cs="Helvetica"/>
                <w:color w:val="333333"/>
                <w:sz w:val="21"/>
                <w:szCs w:val="21"/>
              </w:rPr>
              <w:t> TravelWatch SouthWest CIC</w:t>
            </w:r>
          </w:p>
        </w:tc>
      </w:tr>
    </w:tbl>
    <w:p w:rsidR="003477A5" w:rsidRDefault="003477A5">
      <w:pPr>
        <w:rPr>
          <w:rFonts w:ascii="Helvetica" w:hAnsi="Helvetica" w:cs="Helvetica"/>
          <w:b/>
          <w:bCs/>
          <w:color w:val="333333"/>
          <w:sz w:val="36"/>
          <w:szCs w:val="36"/>
        </w:rPr>
      </w:pPr>
    </w:p>
    <w:p w:rsidR="003477A5" w:rsidRDefault="00A67CBF">
      <w:pPr>
        <w:rPr>
          <w:rFonts w:ascii="Helvetica" w:hAnsi="Helvetica" w:cs="Helvetica"/>
          <w:b/>
          <w:bCs/>
          <w:color w:val="333333"/>
          <w:sz w:val="36"/>
          <w:szCs w:val="36"/>
        </w:rPr>
      </w:pPr>
      <w:r>
        <w:rPr>
          <w:rFonts w:ascii="Helvetica" w:hAnsi="Helvetica" w:cs="Helvetica"/>
          <w:b/>
          <w:bCs/>
          <w:color w:val="333333"/>
          <w:sz w:val="36"/>
          <w:szCs w:val="36"/>
        </w:rPr>
        <w:t xml:space="preserve">4. Your travel </w:t>
      </w:r>
    </w:p>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4. Which station(s) on the Great Western network do you use most frequently? </w:t>
      </w:r>
    </w:p>
    <w:p w:rsidR="003477A5" w:rsidRDefault="003477A5">
      <w:pPr>
        <w:rPr>
          <w:rFonts w:ascii="Helvetica" w:hAnsi="Helvetica" w:cs="Helvetica"/>
          <w:color w:val="333333"/>
          <w:sz w:val="21"/>
          <w:szCs w:val="21"/>
        </w:rPr>
      </w:pP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A67CBF">
            <w:pPr>
              <w:spacing w:after="240"/>
              <w:rPr>
                <w:rFonts w:ascii="Helvetica" w:hAnsi="Helvetica" w:cs="Helvetica"/>
                <w:color w:val="333333"/>
                <w:sz w:val="21"/>
                <w:szCs w:val="21"/>
              </w:rPr>
            </w:pPr>
            <w:r>
              <w:rPr>
                <w:rFonts w:ascii="Helvetica" w:hAnsi="Helvetica" w:cs="Helvetica"/>
                <w:color w:val="333333"/>
                <w:sz w:val="21"/>
                <w:szCs w:val="21"/>
              </w:rPr>
              <w:t> n.a.</w:t>
            </w:r>
            <w:r>
              <w:rPr>
                <w:rFonts w:ascii="Helvetica" w:hAnsi="Helvetica" w:cs="Helvetica"/>
                <w:color w:val="333333"/>
                <w:sz w:val="21"/>
                <w:szCs w:val="21"/>
              </w:rPr>
              <w:br/>
            </w:r>
          </w:p>
        </w:tc>
      </w:tr>
    </w:tbl>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5. Which service group (listed in paragraph 1.1 of the consultation document) do you use most frequently? </w:t>
      </w:r>
    </w:p>
    <w:p w:rsidR="003477A5" w:rsidRDefault="003477A5">
      <w:pPr>
        <w:rPr>
          <w:rFonts w:ascii="Helvetica" w:hAnsi="Helvetica" w:cs="Helvetica"/>
          <w:color w:val="333333"/>
          <w:sz w:val="21"/>
          <w:szCs w:val="21"/>
        </w:rPr>
      </w:pPr>
    </w:p>
    <w:tbl>
      <w:tblPr>
        <w:tblW w:w="1815" w:type="dxa"/>
        <w:tblCellMar>
          <w:left w:w="10" w:type="dxa"/>
          <w:right w:w="10" w:type="dxa"/>
        </w:tblCellMar>
        <w:tblLook w:val="0000" w:firstRow="0" w:lastRow="0" w:firstColumn="0" w:lastColumn="0" w:noHBand="0" w:noVBand="0"/>
      </w:tblPr>
      <w:tblGrid>
        <w:gridCol w:w="426"/>
        <w:gridCol w:w="1389"/>
      </w:tblGrid>
      <w:tr w:rsidR="003477A5">
        <w:tc>
          <w:tcPr>
            <w:tcW w:w="426" w:type="dxa"/>
            <w:shd w:val="clear" w:color="auto" w:fill="auto"/>
            <w:tcMar>
              <w:top w:w="0" w:type="dxa"/>
              <w:left w:w="0" w:type="dxa"/>
              <w:bottom w:w="0" w:type="dxa"/>
              <w:right w:w="0" w:type="dxa"/>
            </w:tcMar>
          </w:tcPr>
          <w:p w:rsidR="003477A5" w:rsidRDefault="00A67CBF">
            <w:r>
              <w:rPr>
                <w:rFonts w:ascii="Helvetica" w:hAnsi="Helvetica" w:cs="Helvetica"/>
                <w:color w:val="333333"/>
                <w:sz w:val="21"/>
                <w:szCs w:val="21"/>
              </w:rPr>
              <w:t>x  </w:t>
            </w:r>
          </w:p>
        </w:tc>
        <w:tc>
          <w:tcPr>
            <w:tcW w:w="1389" w:type="dxa"/>
            <w:shd w:val="clear" w:color="auto" w:fill="auto"/>
            <w:tcMar>
              <w:top w:w="0" w:type="dxa"/>
              <w:left w:w="0" w:type="dxa"/>
              <w:bottom w:w="0" w:type="dxa"/>
              <w:right w:w="0" w:type="dxa"/>
            </w:tcMar>
            <w:vAlign w:val="center"/>
          </w:tcPr>
          <w:p w:rsidR="003477A5" w:rsidRDefault="00A67CBF">
            <w:pPr>
              <w:rPr>
                <w:rFonts w:ascii="Helvetica" w:hAnsi="Helvetica" w:cs="Helvetica"/>
                <w:color w:val="333333"/>
                <w:sz w:val="21"/>
                <w:szCs w:val="21"/>
              </w:rPr>
            </w:pPr>
            <w:r>
              <w:rPr>
                <w:rFonts w:ascii="Helvetica" w:hAnsi="Helvetica" w:cs="Helvetica"/>
                <w:color w:val="333333"/>
                <w:sz w:val="21"/>
                <w:szCs w:val="21"/>
              </w:rPr>
              <w:t>Thames Valley</w:t>
            </w:r>
          </w:p>
        </w:tc>
      </w:tr>
      <w:tr w:rsidR="003477A5">
        <w:tc>
          <w:tcPr>
            <w:tcW w:w="426" w:type="dxa"/>
            <w:shd w:val="clear" w:color="auto" w:fill="auto"/>
            <w:tcMar>
              <w:top w:w="0" w:type="dxa"/>
              <w:left w:w="0" w:type="dxa"/>
              <w:bottom w:w="0" w:type="dxa"/>
              <w:right w:w="0" w:type="dxa"/>
            </w:tcMar>
          </w:tcPr>
          <w:p w:rsidR="003477A5" w:rsidRDefault="00A67CBF">
            <w:r>
              <w:rPr>
                <w:rFonts w:ascii="Helvetica" w:hAnsi="Helvetica" w:cs="Helvetica"/>
                <w:color w:val="333333"/>
                <w:sz w:val="21"/>
                <w:szCs w:val="21"/>
              </w:rPr>
              <w:t>x  </w:t>
            </w:r>
          </w:p>
        </w:tc>
        <w:tc>
          <w:tcPr>
            <w:tcW w:w="1389" w:type="dxa"/>
            <w:shd w:val="clear" w:color="auto" w:fill="auto"/>
            <w:tcMar>
              <w:top w:w="0" w:type="dxa"/>
              <w:left w:w="0" w:type="dxa"/>
              <w:bottom w:w="0" w:type="dxa"/>
              <w:right w:w="0" w:type="dxa"/>
            </w:tcMar>
            <w:vAlign w:val="center"/>
          </w:tcPr>
          <w:p w:rsidR="003477A5" w:rsidRDefault="00A67CBF">
            <w:pPr>
              <w:rPr>
                <w:rFonts w:ascii="Helvetica" w:hAnsi="Helvetica" w:cs="Helvetica"/>
                <w:color w:val="333333"/>
                <w:sz w:val="21"/>
                <w:szCs w:val="21"/>
              </w:rPr>
            </w:pPr>
            <w:r>
              <w:rPr>
                <w:rFonts w:ascii="Helvetica" w:hAnsi="Helvetica" w:cs="Helvetica"/>
                <w:color w:val="333333"/>
                <w:sz w:val="21"/>
                <w:szCs w:val="21"/>
              </w:rPr>
              <w:t>High Speed</w:t>
            </w:r>
          </w:p>
        </w:tc>
      </w:tr>
      <w:tr w:rsidR="003477A5">
        <w:tc>
          <w:tcPr>
            <w:tcW w:w="426" w:type="dxa"/>
            <w:shd w:val="clear" w:color="auto" w:fill="auto"/>
            <w:tcMar>
              <w:top w:w="0" w:type="dxa"/>
              <w:left w:w="0" w:type="dxa"/>
              <w:bottom w:w="0" w:type="dxa"/>
              <w:right w:w="0" w:type="dxa"/>
            </w:tcMar>
          </w:tcPr>
          <w:p w:rsidR="003477A5" w:rsidRDefault="00A67CBF">
            <w:r>
              <w:rPr>
                <w:rFonts w:ascii="Helvetica" w:hAnsi="Helvetica" w:cs="Helvetica"/>
                <w:color w:val="333333"/>
                <w:sz w:val="21"/>
                <w:szCs w:val="21"/>
              </w:rPr>
              <w:t>x </w:t>
            </w:r>
          </w:p>
        </w:tc>
        <w:tc>
          <w:tcPr>
            <w:tcW w:w="1389" w:type="dxa"/>
            <w:shd w:val="clear" w:color="auto" w:fill="auto"/>
            <w:tcMar>
              <w:top w:w="0" w:type="dxa"/>
              <w:left w:w="0" w:type="dxa"/>
              <w:bottom w:w="0" w:type="dxa"/>
              <w:right w:w="0" w:type="dxa"/>
            </w:tcMar>
            <w:vAlign w:val="center"/>
          </w:tcPr>
          <w:p w:rsidR="003477A5" w:rsidRDefault="00A67CBF">
            <w:pPr>
              <w:rPr>
                <w:rFonts w:ascii="Helvetica" w:hAnsi="Helvetica" w:cs="Helvetica"/>
                <w:color w:val="333333"/>
                <w:sz w:val="21"/>
                <w:szCs w:val="21"/>
              </w:rPr>
            </w:pPr>
            <w:r>
              <w:rPr>
                <w:rFonts w:ascii="Helvetica" w:hAnsi="Helvetica" w:cs="Helvetica"/>
                <w:color w:val="333333"/>
                <w:sz w:val="21"/>
                <w:szCs w:val="21"/>
              </w:rPr>
              <w:t>Western</w:t>
            </w:r>
          </w:p>
        </w:tc>
      </w:tr>
    </w:tbl>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6. What is the most common purpose of your journey on Great Western? </w:t>
      </w:r>
    </w:p>
    <w:p w:rsidR="003477A5" w:rsidRDefault="003477A5">
      <w:pPr>
        <w:rPr>
          <w:rFonts w:ascii="Helvetica" w:hAnsi="Helvetica" w:cs="Helvetica"/>
          <w:color w:val="333333"/>
          <w:sz w:val="21"/>
          <w:szCs w:val="21"/>
        </w:rPr>
      </w:pPr>
    </w:p>
    <w:tbl>
      <w:tblPr>
        <w:tblW w:w="4255" w:type="dxa"/>
        <w:tblCellMar>
          <w:left w:w="10" w:type="dxa"/>
          <w:right w:w="10" w:type="dxa"/>
        </w:tblCellMar>
        <w:tblLook w:val="0000" w:firstRow="0" w:lastRow="0" w:firstColumn="0" w:lastColumn="0" w:noHBand="0" w:noVBand="0"/>
      </w:tblPr>
      <w:tblGrid>
        <w:gridCol w:w="426"/>
        <w:gridCol w:w="3829"/>
      </w:tblGrid>
      <w:tr w:rsidR="003477A5">
        <w:tc>
          <w:tcPr>
            <w:tcW w:w="426" w:type="dxa"/>
            <w:shd w:val="clear" w:color="auto" w:fill="auto"/>
            <w:tcMar>
              <w:top w:w="0" w:type="dxa"/>
              <w:left w:w="0" w:type="dxa"/>
              <w:bottom w:w="0" w:type="dxa"/>
              <w:right w:w="0" w:type="dxa"/>
            </w:tcMar>
          </w:tcPr>
          <w:p w:rsidR="003477A5" w:rsidRDefault="00A67CBF">
            <w:r>
              <w:rPr>
                <w:rFonts w:ascii="Helvetica" w:hAnsi="Helvetica" w:cs="Helvetica"/>
                <w:color w:val="333333"/>
                <w:sz w:val="21"/>
                <w:szCs w:val="21"/>
              </w:rPr>
              <w:t>  X</w:t>
            </w:r>
          </w:p>
        </w:tc>
        <w:tc>
          <w:tcPr>
            <w:tcW w:w="3829" w:type="dxa"/>
            <w:shd w:val="clear" w:color="auto" w:fill="auto"/>
            <w:tcMar>
              <w:top w:w="0" w:type="dxa"/>
              <w:left w:w="0" w:type="dxa"/>
              <w:bottom w:w="0" w:type="dxa"/>
              <w:right w:w="0" w:type="dxa"/>
            </w:tcMar>
            <w:vAlign w:val="center"/>
          </w:tcPr>
          <w:p w:rsidR="003477A5" w:rsidRDefault="00A67CBF">
            <w:pPr>
              <w:rPr>
                <w:rFonts w:ascii="Helvetica" w:hAnsi="Helvetica" w:cs="Helvetica"/>
                <w:color w:val="333333"/>
                <w:sz w:val="21"/>
                <w:szCs w:val="21"/>
              </w:rPr>
            </w:pPr>
            <w:r>
              <w:rPr>
                <w:rFonts w:ascii="Helvetica" w:hAnsi="Helvetica" w:cs="Helvetica"/>
                <w:color w:val="333333"/>
                <w:sz w:val="21"/>
                <w:szCs w:val="21"/>
              </w:rPr>
              <w:t>Commuting</w:t>
            </w:r>
          </w:p>
        </w:tc>
      </w:tr>
      <w:tr w:rsidR="003477A5">
        <w:tc>
          <w:tcPr>
            <w:tcW w:w="426" w:type="dxa"/>
            <w:shd w:val="clear" w:color="auto" w:fill="auto"/>
            <w:tcMar>
              <w:top w:w="0" w:type="dxa"/>
              <w:left w:w="0" w:type="dxa"/>
              <w:bottom w:w="0" w:type="dxa"/>
              <w:right w:w="0" w:type="dxa"/>
            </w:tcMar>
          </w:tcPr>
          <w:p w:rsidR="003477A5" w:rsidRDefault="00A67CBF">
            <w:r>
              <w:rPr>
                <w:rFonts w:ascii="Helvetica" w:hAnsi="Helvetica" w:cs="Helvetica"/>
                <w:color w:val="333333"/>
                <w:sz w:val="21"/>
                <w:szCs w:val="21"/>
              </w:rPr>
              <w:t>  X</w:t>
            </w:r>
          </w:p>
        </w:tc>
        <w:tc>
          <w:tcPr>
            <w:tcW w:w="3829" w:type="dxa"/>
            <w:shd w:val="clear" w:color="auto" w:fill="auto"/>
            <w:tcMar>
              <w:top w:w="0" w:type="dxa"/>
              <w:left w:w="0" w:type="dxa"/>
              <w:bottom w:w="0" w:type="dxa"/>
              <w:right w:w="0" w:type="dxa"/>
            </w:tcMar>
            <w:vAlign w:val="center"/>
          </w:tcPr>
          <w:p w:rsidR="003477A5" w:rsidRDefault="00A67CBF">
            <w:pPr>
              <w:rPr>
                <w:rFonts w:ascii="Helvetica" w:hAnsi="Helvetica" w:cs="Helvetica"/>
                <w:color w:val="333333"/>
                <w:sz w:val="21"/>
                <w:szCs w:val="21"/>
              </w:rPr>
            </w:pPr>
            <w:r>
              <w:rPr>
                <w:rFonts w:ascii="Helvetica" w:hAnsi="Helvetica" w:cs="Helvetica"/>
                <w:color w:val="333333"/>
                <w:sz w:val="21"/>
                <w:szCs w:val="21"/>
              </w:rPr>
              <w:t>Travel to Education</w:t>
            </w:r>
          </w:p>
        </w:tc>
      </w:tr>
      <w:tr w:rsidR="003477A5">
        <w:tc>
          <w:tcPr>
            <w:tcW w:w="426" w:type="dxa"/>
            <w:shd w:val="clear" w:color="auto" w:fill="auto"/>
            <w:tcMar>
              <w:top w:w="0" w:type="dxa"/>
              <w:left w:w="0" w:type="dxa"/>
              <w:bottom w:w="0" w:type="dxa"/>
              <w:right w:w="0" w:type="dxa"/>
            </w:tcMar>
          </w:tcPr>
          <w:p w:rsidR="003477A5" w:rsidRDefault="00A67CBF">
            <w:r>
              <w:rPr>
                <w:rFonts w:ascii="Helvetica" w:hAnsi="Helvetica" w:cs="Helvetica"/>
                <w:color w:val="333333"/>
                <w:sz w:val="21"/>
                <w:szCs w:val="21"/>
              </w:rPr>
              <w:t>  X</w:t>
            </w:r>
          </w:p>
        </w:tc>
        <w:tc>
          <w:tcPr>
            <w:tcW w:w="3829" w:type="dxa"/>
            <w:shd w:val="clear" w:color="auto" w:fill="auto"/>
            <w:tcMar>
              <w:top w:w="0" w:type="dxa"/>
              <w:left w:w="0" w:type="dxa"/>
              <w:bottom w:w="0" w:type="dxa"/>
              <w:right w:w="0" w:type="dxa"/>
            </w:tcMar>
            <w:vAlign w:val="center"/>
          </w:tcPr>
          <w:p w:rsidR="003477A5" w:rsidRDefault="00A67CBF">
            <w:pPr>
              <w:rPr>
                <w:rFonts w:ascii="Helvetica" w:hAnsi="Helvetica" w:cs="Helvetica"/>
                <w:color w:val="333333"/>
                <w:sz w:val="21"/>
                <w:szCs w:val="21"/>
              </w:rPr>
            </w:pPr>
            <w:r>
              <w:rPr>
                <w:rFonts w:ascii="Helvetica" w:hAnsi="Helvetica" w:cs="Helvetica"/>
                <w:color w:val="333333"/>
                <w:sz w:val="21"/>
                <w:szCs w:val="21"/>
              </w:rPr>
              <w:t>Accessing Public Services (e.g hospitals)</w:t>
            </w:r>
          </w:p>
        </w:tc>
      </w:tr>
      <w:tr w:rsidR="003477A5">
        <w:tc>
          <w:tcPr>
            <w:tcW w:w="426" w:type="dxa"/>
            <w:shd w:val="clear" w:color="auto" w:fill="auto"/>
            <w:tcMar>
              <w:top w:w="0" w:type="dxa"/>
              <w:left w:w="0" w:type="dxa"/>
              <w:bottom w:w="0" w:type="dxa"/>
              <w:right w:w="0" w:type="dxa"/>
            </w:tcMar>
          </w:tcPr>
          <w:p w:rsidR="003477A5" w:rsidRDefault="00A67CBF">
            <w:r>
              <w:rPr>
                <w:rFonts w:ascii="Helvetica" w:hAnsi="Helvetica" w:cs="Helvetica"/>
                <w:color w:val="333333"/>
                <w:sz w:val="21"/>
                <w:szCs w:val="21"/>
              </w:rPr>
              <w:t>  X</w:t>
            </w:r>
          </w:p>
        </w:tc>
        <w:tc>
          <w:tcPr>
            <w:tcW w:w="3829" w:type="dxa"/>
            <w:shd w:val="clear" w:color="auto" w:fill="auto"/>
            <w:tcMar>
              <w:top w:w="0" w:type="dxa"/>
              <w:left w:w="0" w:type="dxa"/>
              <w:bottom w:w="0" w:type="dxa"/>
              <w:right w:w="0" w:type="dxa"/>
            </w:tcMar>
            <w:vAlign w:val="center"/>
          </w:tcPr>
          <w:p w:rsidR="003477A5" w:rsidRDefault="00A67CBF">
            <w:pPr>
              <w:rPr>
                <w:rFonts w:ascii="Helvetica" w:hAnsi="Helvetica" w:cs="Helvetica"/>
                <w:color w:val="333333"/>
                <w:sz w:val="21"/>
                <w:szCs w:val="21"/>
              </w:rPr>
            </w:pPr>
            <w:r>
              <w:rPr>
                <w:rFonts w:ascii="Helvetica" w:hAnsi="Helvetica" w:cs="Helvetica"/>
                <w:color w:val="333333"/>
                <w:sz w:val="21"/>
                <w:szCs w:val="21"/>
              </w:rPr>
              <w:t>Business</w:t>
            </w:r>
          </w:p>
        </w:tc>
      </w:tr>
      <w:tr w:rsidR="003477A5">
        <w:tc>
          <w:tcPr>
            <w:tcW w:w="426" w:type="dxa"/>
            <w:shd w:val="clear" w:color="auto" w:fill="auto"/>
            <w:tcMar>
              <w:top w:w="0" w:type="dxa"/>
              <w:left w:w="0" w:type="dxa"/>
              <w:bottom w:w="0" w:type="dxa"/>
              <w:right w:w="0" w:type="dxa"/>
            </w:tcMar>
          </w:tcPr>
          <w:p w:rsidR="003477A5" w:rsidRDefault="00A67CBF">
            <w:r>
              <w:rPr>
                <w:rFonts w:ascii="Helvetica" w:hAnsi="Helvetica" w:cs="Helvetica"/>
                <w:color w:val="333333"/>
                <w:sz w:val="21"/>
                <w:szCs w:val="21"/>
              </w:rPr>
              <w:t>  X</w:t>
            </w:r>
          </w:p>
        </w:tc>
        <w:tc>
          <w:tcPr>
            <w:tcW w:w="3829" w:type="dxa"/>
            <w:shd w:val="clear" w:color="auto" w:fill="auto"/>
            <w:tcMar>
              <w:top w:w="0" w:type="dxa"/>
              <w:left w:w="0" w:type="dxa"/>
              <w:bottom w:w="0" w:type="dxa"/>
              <w:right w:w="0" w:type="dxa"/>
            </w:tcMar>
            <w:vAlign w:val="center"/>
          </w:tcPr>
          <w:p w:rsidR="003477A5" w:rsidRDefault="00A67CBF">
            <w:pPr>
              <w:rPr>
                <w:rFonts w:ascii="Helvetica" w:hAnsi="Helvetica" w:cs="Helvetica"/>
                <w:color w:val="333333"/>
                <w:sz w:val="21"/>
                <w:szCs w:val="21"/>
              </w:rPr>
            </w:pPr>
            <w:r>
              <w:rPr>
                <w:rFonts w:ascii="Helvetica" w:hAnsi="Helvetica" w:cs="Helvetica"/>
                <w:color w:val="333333"/>
                <w:sz w:val="21"/>
                <w:szCs w:val="21"/>
              </w:rPr>
              <w:t>Leisure</w:t>
            </w:r>
          </w:p>
          <w:p w:rsidR="003477A5" w:rsidRDefault="003477A5">
            <w:pPr>
              <w:rPr>
                <w:rFonts w:ascii="Helvetica" w:hAnsi="Helvetica" w:cs="Helvetica"/>
                <w:color w:val="333333"/>
                <w:sz w:val="21"/>
                <w:szCs w:val="21"/>
              </w:rPr>
            </w:pPr>
          </w:p>
        </w:tc>
      </w:tr>
    </w:tbl>
    <w:p w:rsidR="003477A5" w:rsidRDefault="00A67CBF">
      <w:pPr>
        <w:rPr>
          <w:rFonts w:ascii="Helvetica" w:hAnsi="Helvetica" w:cs="Helvetica"/>
          <w:b/>
          <w:bCs/>
          <w:color w:val="333333"/>
          <w:sz w:val="36"/>
          <w:szCs w:val="36"/>
        </w:rPr>
      </w:pPr>
      <w:r>
        <w:rPr>
          <w:rFonts w:ascii="Helvetica" w:hAnsi="Helvetica" w:cs="Helvetica"/>
          <w:b/>
          <w:bCs/>
          <w:color w:val="333333"/>
          <w:sz w:val="36"/>
          <w:szCs w:val="36"/>
        </w:rPr>
        <w:t xml:space="preserve">5. Objectives for the franchises </w:t>
      </w:r>
    </w:p>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rPr>
          <w:rFonts w:ascii="Helvetica" w:hAnsi="Helvetica" w:cs="Helvetica"/>
          <w:bCs/>
          <w:color w:val="333333"/>
          <w:sz w:val="21"/>
          <w:szCs w:val="21"/>
        </w:rPr>
      </w:pPr>
      <w:r>
        <w:rPr>
          <w:rFonts w:ascii="Helvetica" w:hAnsi="Helvetica" w:cs="Helvetica"/>
          <w:bCs/>
          <w:color w:val="333333"/>
          <w:sz w:val="21"/>
          <w:szCs w:val="21"/>
        </w:rPr>
        <w:t xml:space="preserve">Taking account of the opportunities and challenges outlined, and the government’s objectives for transport more generally, we propose the core objectives for the Great Western franchise in the 2020s which are to:  </w:t>
      </w:r>
    </w:p>
    <w:tbl>
      <w:tblPr>
        <w:tblW w:w="9026" w:type="dxa"/>
        <w:tblCellMar>
          <w:left w:w="10" w:type="dxa"/>
          <w:right w:w="10" w:type="dxa"/>
        </w:tblCellMar>
        <w:tblLook w:val="0000" w:firstRow="0" w:lastRow="0" w:firstColumn="0" w:lastColumn="0" w:noHBand="0" w:noVBand="0"/>
      </w:tblPr>
      <w:tblGrid>
        <w:gridCol w:w="9026"/>
      </w:tblGrid>
      <w:tr w:rsidR="003477A5">
        <w:tc>
          <w:tcPr>
            <w:tcW w:w="9026" w:type="dxa"/>
            <w:shd w:val="clear" w:color="auto" w:fill="auto"/>
            <w:tcMar>
              <w:top w:w="0" w:type="dxa"/>
              <w:left w:w="0" w:type="dxa"/>
              <w:bottom w:w="0" w:type="dxa"/>
              <w:right w:w="0" w:type="dxa"/>
            </w:tcMar>
          </w:tcPr>
          <w:p w:rsidR="003477A5" w:rsidRDefault="00A67CBF">
            <w:pPr>
              <w:pStyle w:val="ListParagraph"/>
              <w:numPr>
                <w:ilvl w:val="0"/>
                <w:numId w:val="1"/>
              </w:numPr>
              <w:spacing w:before="300" w:after="300"/>
            </w:pPr>
            <w:r>
              <w:rPr>
                <w:rStyle w:val="Strong"/>
                <w:rFonts w:ascii="Helvetica" w:hAnsi="Helvetica" w:cs="Helvetica"/>
                <w:color w:val="333333"/>
                <w:sz w:val="21"/>
                <w:szCs w:val="21"/>
              </w:rPr>
              <w:t>provide safe, punctual and reliable services</w:t>
            </w:r>
            <w:r>
              <w:rPr>
                <w:rFonts w:ascii="Helvetica" w:hAnsi="Helvetica" w:cs="Helvetica"/>
                <w:color w:val="333333"/>
                <w:sz w:val="21"/>
                <w:szCs w:val="21"/>
              </w:rPr>
              <w:t> with enough seats and space for people who want to use them</w:t>
            </w:r>
          </w:p>
        </w:tc>
      </w:tr>
      <w:tr w:rsidR="003477A5">
        <w:tc>
          <w:tcPr>
            <w:tcW w:w="9026" w:type="dxa"/>
            <w:shd w:val="clear" w:color="auto" w:fill="auto"/>
            <w:tcMar>
              <w:top w:w="0" w:type="dxa"/>
              <w:left w:w="0" w:type="dxa"/>
              <w:bottom w:w="0" w:type="dxa"/>
              <w:right w:w="0" w:type="dxa"/>
            </w:tcMar>
          </w:tcPr>
          <w:p w:rsidR="003477A5" w:rsidRDefault="00A67CBF">
            <w:pPr>
              <w:pStyle w:val="ListParagraph"/>
              <w:numPr>
                <w:ilvl w:val="0"/>
                <w:numId w:val="1"/>
              </w:numPr>
              <w:spacing w:before="300" w:after="300"/>
            </w:pPr>
            <w:r>
              <w:rPr>
                <w:rStyle w:val="Strong"/>
                <w:rFonts w:ascii="Helvetica" w:hAnsi="Helvetica" w:cs="Helvetica"/>
                <w:color w:val="333333"/>
                <w:sz w:val="21"/>
                <w:szCs w:val="21"/>
              </w:rPr>
              <w:t>focus on the needs of the travelling public</w:t>
            </w:r>
            <w:r>
              <w:rPr>
                <w:rFonts w:ascii="Helvetica" w:hAnsi="Helvetica" w:cs="Helvetica"/>
                <w:color w:val="333333"/>
                <w:sz w:val="21"/>
                <w:szCs w:val="21"/>
              </w:rPr>
              <w:t> to provide an excellent and continually-improving customer experience for all passengers, whatever their particular needs and abilities</w:t>
            </w:r>
          </w:p>
        </w:tc>
      </w:tr>
      <w:tr w:rsidR="003477A5">
        <w:tc>
          <w:tcPr>
            <w:tcW w:w="9026" w:type="dxa"/>
            <w:shd w:val="clear" w:color="auto" w:fill="auto"/>
            <w:tcMar>
              <w:top w:w="0" w:type="dxa"/>
              <w:left w:w="0" w:type="dxa"/>
              <w:bottom w:w="0" w:type="dxa"/>
              <w:right w:w="0" w:type="dxa"/>
            </w:tcMar>
          </w:tcPr>
          <w:p w:rsidR="003477A5" w:rsidRDefault="00A67CBF">
            <w:pPr>
              <w:pStyle w:val="ListParagraph"/>
              <w:numPr>
                <w:ilvl w:val="0"/>
                <w:numId w:val="1"/>
              </w:numPr>
              <w:spacing w:before="300" w:after="300"/>
            </w:pPr>
            <w:r>
              <w:rPr>
                <w:rStyle w:val="Strong"/>
                <w:rFonts w:ascii="Helvetica" w:hAnsi="Helvetica" w:cs="Helvetica"/>
                <w:color w:val="333333"/>
                <w:sz w:val="21"/>
                <w:szCs w:val="21"/>
              </w:rPr>
              <w:t>maximise the benefits for passengers from the current transformational investment</w:t>
            </w:r>
            <w:r>
              <w:rPr>
                <w:rFonts w:ascii="Helvetica" w:hAnsi="Helvetica" w:cs="Helvetica"/>
                <w:color w:val="333333"/>
                <w:sz w:val="21"/>
                <w:szCs w:val="21"/>
              </w:rPr>
              <w:t xml:space="preserve"> in the Great Western railway network</w:t>
            </w:r>
          </w:p>
        </w:tc>
      </w:tr>
      <w:tr w:rsidR="003477A5">
        <w:tc>
          <w:tcPr>
            <w:tcW w:w="9026" w:type="dxa"/>
            <w:shd w:val="clear" w:color="auto" w:fill="auto"/>
            <w:tcMar>
              <w:top w:w="0" w:type="dxa"/>
              <w:left w:w="0" w:type="dxa"/>
              <w:bottom w:w="0" w:type="dxa"/>
              <w:right w:w="0" w:type="dxa"/>
            </w:tcMar>
          </w:tcPr>
          <w:p w:rsidR="003477A5" w:rsidRDefault="00A67CBF">
            <w:pPr>
              <w:pStyle w:val="ListParagraph"/>
              <w:numPr>
                <w:ilvl w:val="0"/>
                <w:numId w:val="1"/>
              </w:numPr>
              <w:spacing w:before="300" w:after="300"/>
            </w:pPr>
            <w:r>
              <w:rPr>
                <w:rStyle w:val="Strong"/>
                <w:rFonts w:ascii="Helvetica" w:hAnsi="Helvetica" w:cs="Helvetica"/>
                <w:color w:val="333333"/>
                <w:sz w:val="21"/>
                <w:szCs w:val="21"/>
              </w:rPr>
              <w:t>maximise the contribution of the railway to driving local and regional economic growth</w:t>
            </w:r>
            <w:r>
              <w:rPr>
                <w:rFonts w:ascii="Helvetica" w:hAnsi="Helvetica" w:cs="Helvetica"/>
                <w:color w:val="333333"/>
                <w:sz w:val="21"/>
                <w:szCs w:val="21"/>
              </w:rPr>
              <w:t>, enabling planned growth in housing, and meeting the wider needs of citizens and society across the whole of the franchise area</w:t>
            </w:r>
          </w:p>
        </w:tc>
      </w:tr>
      <w:tr w:rsidR="003477A5">
        <w:tc>
          <w:tcPr>
            <w:tcW w:w="9026" w:type="dxa"/>
            <w:shd w:val="clear" w:color="auto" w:fill="auto"/>
            <w:tcMar>
              <w:top w:w="0" w:type="dxa"/>
              <w:left w:w="0" w:type="dxa"/>
              <w:bottom w:w="0" w:type="dxa"/>
              <w:right w:w="0" w:type="dxa"/>
            </w:tcMar>
          </w:tcPr>
          <w:p w:rsidR="003477A5" w:rsidRDefault="00A67CBF">
            <w:pPr>
              <w:pStyle w:val="ListParagraph"/>
              <w:numPr>
                <w:ilvl w:val="0"/>
                <w:numId w:val="1"/>
              </w:numPr>
              <w:spacing w:before="300" w:after="300"/>
            </w:pPr>
            <w:r>
              <w:rPr>
                <w:rStyle w:val="Strong"/>
                <w:rFonts w:ascii="Helvetica" w:hAnsi="Helvetica" w:cs="Helvetica"/>
                <w:color w:val="333333"/>
                <w:sz w:val="21"/>
                <w:szCs w:val="21"/>
              </w:rPr>
              <w:t>be a responsible employer who invests in the welfare and the development of its workforce</w:t>
            </w:r>
            <w:r>
              <w:rPr>
                <w:rFonts w:ascii="Helvetica" w:hAnsi="Helvetica" w:cs="Helvetica"/>
                <w:color w:val="333333"/>
                <w:sz w:val="21"/>
                <w:szCs w:val="21"/>
              </w:rPr>
              <w:t>, motivating staff and equipping them with the right skills to provide the best possible customer service</w:t>
            </w:r>
          </w:p>
        </w:tc>
      </w:tr>
      <w:tr w:rsidR="003477A5">
        <w:tc>
          <w:tcPr>
            <w:tcW w:w="9026" w:type="dxa"/>
            <w:shd w:val="clear" w:color="auto" w:fill="auto"/>
            <w:tcMar>
              <w:top w:w="0" w:type="dxa"/>
              <w:left w:w="0" w:type="dxa"/>
              <w:bottom w:w="0" w:type="dxa"/>
              <w:right w:w="0" w:type="dxa"/>
            </w:tcMar>
          </w:tcPr>
          <w:p w:rsidR="003477A5" w:rsidRDefault="00A67CBF">
            <w:pPr>
              <w:pStyle w:val="ListParagraph"/>
              <w:numPr>
                <w:ilvl w:val="0"/>
                <w:numId w:val="1"/>
              </w:numPr>
              <w:spacing w:before="300" w:after="300"/>
            </w:pPr>
            <w:r>
              <w:rPr>
                <w:rStyle w:val="Strong"/>
                <w:rFonts w:ascii="Helvetica" w:hAnsi="Helvetica" w:cs="Helvetica"/>
                <w:color w:val="333333"/>
                <w:sz w:val="21"/>
                <w:szCs w:val="21"/>
              </w:rPr>
              <w:t>strengthen the connection between the railway and the communities it serves</w:t>
            </w:r>
            <w:r>
              <w:rPr>
                <w:rFonts w:ascii="Helvetica" w:hAnsi="Helvetica" w:cs="Helvetica"/>
                <w:color w:val="333333"/>
                <w:sz w:val="21"/>
                <w:szCs w:val="21"/>
              </w:rPr>
              <w:t>, supported by strong relationships with all those who have an interest in the franchise and the services it provides</w:t>
            </w:r>
          </w:p>
        </w:tc>
      </w:tr>
      <w:tr w:rsidR="003477A5">
        <w:tc>
          <w:tcPr>
            <w:tcW w:w="9026" w:type="dxa"/>
            <w:shd w:val="clear" w:color="auto" w:fill="auto"/>
            <w:tcMar>
              <w:top w:w="0" w:type="dxa"/>
              <w:left w:w="0" w:type="dxa"/>
              <w:bottom w:w="0" w:type="dxa"/>
              <w:right w:w="0" w:type="dxa"/>
            </w:tcMar>
          </w:tcPr>
          <w:p w:rsidR="003477A5" w:rsidRDefault="00A67CBF">
            <w:pPr>
              <w:pStyle w:val="ListParagraph"/>
              <w:numPr>
                <w:ilvl w:val="0"/>
                <w:numId w:val="1"/>
              </w:numPr>
              <w:spacing w:before="300" w:after="300"/>
            </w:pPr>
            <w:r>
              <w:rPr>
                <w:rStyle w:val="Strong"/>
                <w:rFonts w:ascii="Helvetica" w:hAnsi="Helvetica" w:cs="Helvetica"/>
                <w:color w:val="333333"/>
                <w:sz w:val="21"/>
                <w:szCs w:val="21"/>
              </w:rPr>
              <w:t>continue to improve the environmental performance of the railway and support wider environmental objectives</w:t>
            </w:r>
            <w:r>
              <w:rPr>
                <w:rFonts w:ascii="Helvetica" w:hAnsi="Helvetica" w:cs="Helvetica"/>
                <w:color w:val="333333"/>
                <w:sz w:val="21"/>
                <w:szCs w:val="21"/>
              </w:rPr>
              <w:t xml:space="preserve"> by providing an attractive alternative to more polluting modes, and improving measures such as energy and water consumption and recycling</w:t>
            </w:r>
          </w:p>
        </w:tc>
      </w:tr>
      <w:tr w:rsidR="003477A5">
        <w:tc>
          <w:tcPr>
            <w:tcW w:w="9026" w:type="dxa"/>
            <w:shd w:val="clear" w:color="auto" w:fill="auto"/>
            <w:tcMar>
              <w:top w:w="0" w:type="dxa"/>
              <w:left w:w="0" w:type="dxa"/>
              <w:bottom w:w="0" w:type="dxa"/>
              <w:right w:w="0" w:type="dxa"/>
            </w:tcMar>
          </w:tcPr>
          <w:p w:rsidR="003477A5" w:rsidRDefault="00A67CBF">
            <w:pPr>
              <w:pStyle w:val="ListParagraph"/>
              <w:numPr>
                <w:ilvl w:val="0"/>
                <w:numId w:val="1"/>
              </w:numPr>
              <w:spacing w:before="300" w:after="300"/>
            </w:pPr>
            <w:r>
              <w:rPr>
                <w:rStyle w:val="Strong"/>
                <w:rFonts w:ascii="Helvetica" w:hAnsi="Helvetica" w:cs="Helvetica"/>
                <w:color w:val="333333"/>
                <w:sz w:val="21"/>
                <w:szCs w:val="21"/>
              </w:rPr>
              <w:t>develop close collaborative working with Network Rail and other partners</w:t>
            </w:r>
            <w:r>
              <w:rPr>
                <w:rFonts w:ascii="Helvetica" w:hAnsi="Helvetica" w:cs="Helvetica"/>
                <w:color w:val="333333"/>
                <w:sz w:val="21"/>
                <w:szCs w:val="21"/>
              </w:rPr>
              <w:t>, bringing the operation of track and train closer together to deliver the best possible service for passengers and drawing in funding from the widest possible range of sources</w:t>
            </w:r>
          </w:p>
        </w:tc>
      </w:tr>
      <w:tr w:rsidR="003477A5">
        <w:tc>
          <w:tcPr>
            <w:tcW w:w="9026" w:type="dxa"/>
            <w:shd w:val="clear" w:color="auto" w:fill="auto"/>
            <w:tcMar>
              <w:top w:w="0" w:type="dxa"/>
              <w:left w:w="0" w:type="dxa"/>
              <w:bottom w:w="0" w:type="dxa"/>
              <w:right w:w="0" w:type="dxa"/>
            </w:tcMar>
          </w:tcPr>
          <w:p w:rsidR="003477A5" w:rsidRDefault="00A67CBF">
            <w:pPr>
              <w:pStyle w:val="ListParagraph"/>
              <w:numPr>
                <w:ilvl w:val="0"/>
                <w:numId w:val="1"/>
              </w:numPr>
              <w:spacing w:before="300" w:after="300"/>
            </w:pPr>
            <w:r>
              <w:rPr>
                <w:rStyle w:val="Strong"/>
                <w:rFonts w:ascii="Helvetica" w:hAnsi="Helvetica" w:cs="Helvetica"/>
                <w:color w:val="333333"/>
                <w:sz w:val="21"/>
                <w:szCs w:val="21"/>
              </w:rPr>
              <w:t>work with the government and other agencies to support the development and delivery of other major rail investment schemes</w:t>
            </w:r>
            <w:r>
              <w:rPr>
                <w:rFonts w:ascii="Helvetica" w:hAnsi="Helvetica" w:cs="Helvetica"/>
                <w:color w:val="333333"/>
                <w:sz w:val="21"/>
                <w:szCs w:val="21"/>
              </w:rPr>
              <w:t>, such as the proposed western rail link to Heathrow, East-West Rail and the interface with HS2 at Old Oak Common</w:t>
            </w:r>
          </w:p>
        </w:tc>
      </w:tr>
      <w:tr w:rsidR="003477A5">
        <w:tc>
          <w:tcPr>
            <w:tcW w:w="9026" w:type="dxa"/>
            <w:shd w:val="clear" w:color="auto" w:fill="auto"/>
            <w:tcMar>
              <w:top w:w="0" w:type="dxa"/>
              <w:left w:w="0" w:type="dxa"/>
              <w:bottom w:w="0" w:type="dxa"/>
              <w:right w:w="0" w:type="dxa"/>
            </w:tcMar>
          </w:tcPr>
          <w:p w:rsidR="003477A5" w:rsidRDefault="00A67CBF">
            <w:pPr>
              <w:pStyle w:val="ListParagraph"/>
              <w:numPr>
                <w:ilvl w:val="0"/>
                <w:numId w:val="1"/>
              </w:numPr>
              <w:spacing w:before="300" w:after="300"/>
            </w:pPr>
            <w:r>
              <w:rPr>
                <w:rStyle w:val="Strong"/>
                <w:rFonts w:ascii="Helvetica" w:hAnsi="Helvetica" w:cs="Helvetica"/>
                <w:color w:val="333333"/>
                <w:sz w:val="21"/>
                <w:szCs w:val="21"/>
              </w:rPr>
              <w:t>operate efficiently, providing best value for taxpayers’ and passengers’ money</w:t>
            </w:r>
            <w:r>
              <w:rPr>
                <w:rFonts w:ascii="Helvetica" w:hAnsi="Helvetica" w:cs="Helvetica"/>
                <w:color w:val="333333"/>
                <w:sz w:val="21"/>
                <w:szCs w:val="21"/>
              </w:rPr>
              <w:t xml:space="preserve">, thereby ensuring the maximum possible resources are available for further service improvements </w:t>
            </w:r>
          </w:p>
        </w:tc>
      </w:tr>
    </w:tbl>
    <w:p w:rsidR="003477A5" w:rsidRDefault="003477A5">
      <w:pPr>
        <w:rPr>
          <w:rFonts w:ascii="Helvetica" w:hAnsi="Helvetica" w:cs="Helvetica"/>
          <w:color w:val="333333"/>
          <w:sz w:val="21"/>
          <w:szCs w:val="21"/>
        </w:rPr>
      </w:pP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7. To what extent do you agree or disagree with these priorities for the Great Western franchise in the 2020s? </w:t>
      </w:r>
    </w:p>
    <w:p w:rsidR="003477A5" w:rsidRDefault="003477A5">
      <w:pPr>
        <w:rPr>
          <w:rFonts w:ascii="Helvetica" w:hAnsi="Helvetica" w:cs="Helvetica"/>
          <w:color w:val="333333"/>
          <w:sz w:val="21"/>
          <w:szCs w:val="21"/>
        </w:rPr>
      </w:pPr>
    </w:p>
    <w:tbl>
      <w:tblPr>
        <w:tblW w:w="3286" w:type="dxa"/>
        <w:tblCellMar>
          <w:left w:w="10" w:type="dxa"/>
          <w:right w:w="10" w:type="dxa"/>
        </w:tblCellMar>
        <w:tblLook w:val="0000" w:firstRow="0" w:lastRow="0" w:firstColumn="0" w:lastColumn="0" w:noHBand="0" w:noVBand="0"/>
      </w:tblPr>
      <w:tblGrid>
        <w:gridCol w:w="426"/>
        <w:gridCol w:w="2860"/>
      </w:tblGrid>
      <w:tr w:rsidR="003477A5">
        <w:tc>
          <w:tcPr>
            <w:tcW w:w="426" w:type="dxa"/>
            <w:shd w:val="clear" w:color="auto" w:fill="auto"/>
            <w:tcMar>
              <w:top w:w="0" w:type="dxa"/>
              <w:left w:w="0" w:type="dxa"/>
              <w:bottom w:w="0" w:type="dxa"/>
              <w:right w:w="0" w:type="dxa"/>
            </w:tcMar>
          </w:tcPr>
          <w:p w:rsidR="003477A5" w:rsidRDefault="00A67CBF">
            <w:r>
              <w:rPr>
                <w:rFonts w:ascii="Helvetica" w:hAnsi="Helvetica" w:cs="Helvetica"/>
                <w:color w:val="333333"/>
                <w:sz w:val="21"/>
                <w:szCs w:val="21"/>
              </w:rPr>
              <w:t>  X</w:t>
            </w:r>
          </w:p>
        </w:tc>
        <w:tc>
          <w:tcPr>
            <w:tcW w:w="2860" w:type="dxa"/>
            <w:shd w:val="clear" w:color="auto" w:fill="auto"/>
            <w:tcMar>
              <w:top w:w="0" w:type="dxa"/>
              <w:left w:w="0" w:type="dxa"/>
              <w:bottom w:w="0" w:type="dxa"/>
              <w:right w:w="0" w:type="dxa"/>
            </w:tcMar>
            <w:vAlign w:val="center"/>
          </w:tcPr>
          <w:p w:rsidR="003477A5" w:rsidRDefault="00A67CBF">
            <w:pPr>
              <w:rPr>
                <w:rFonts w:ascii="Helvetica" w:hAnsi="Helvetica" w:cs="Helvetica"/>
                <w:color w:val="333333"/>
                <w:sz w:val="21"/>
                <w:szCs w:val="21"/>
              </w:rPr>
            </w:pPr>
            <w:r>
              <w:rPr>
                <w:rFonts w:ascii="Helvetica" w:hAnsi="Helvetica" w:cs="Helvetica"/>
                <w:color w:val="333333"/>
                <w:sz w:val="21"/>
                <w:szCs w:val="21"/>
              </w:rPr>
              <w:t>Wholly agree with the priorities</w:t>
            </w:r>
          </w:p>
        </w:tc>
      </w:tr>
      <w:tr w:rsidR="003477A5">
        <w:tc>
          <w:tcPr>
            <w:tcW w:w="426" w:type="dxa"/>
            <w:shd w:val="clear" w:color="auto" w:fill="auto"/>
            <w:tcMar>
              <w:top w:w="0" w:type="dxa"/>
              <w:left w:w="0" w:type="dxa"/>
              <w:bottom w:w="0" w:type="dxa"/>
              <w:right w:w="0" w:type="dxa"/>
            </w:tcMar>
          </w:tcPr>
          <w:p w:rsidR="003477A5" w:rsidRDefault="00A67CBF">
            <w:r>
              <w:rPr>
                <w:rFonts w:ascii="Helvetica" w:hAnsi="Helvetica" w:cs="Helvetica"/>
                <w:color w:val="333333"/>
                <w:sz w:val="21"/>
                <w:szCs w:val="21"/>
              </w:rPr>
              <w:t>  </w:t>
            </w:r>
          </w:p>
        </w:tc>
        <w:tc>
          <w:tcPr>
            <w:tcW w:w="2860" w:type="dxa"/>
            <w:shd w:val="clear" w:color="auto" w:fill="auto"/>
            <w:tcMar>
              <w:top w:w="0" w:type="dxa"/>
              <w:left w:w="0" w:type="dxa"/>
              <w:bottom w:w="0" w:type="dxa"/>
              <w:right w:w="0" w:type="dxa"/>
            </w:tcMar>
            <w:vAlign w:val="center"/>
          </w:tcPr>
          <w:p w:rsidR="003477A5" w:rsidRDefault="00A67CBF">
            <w:pPr>
              <w:rPr>
                <w:rFonts w:ascii="Helvetica" w:hAnsi="Helvetica" w:cs="Helvetica"/>
                <w:color w:val="333333"/>
                <w:sz w:val="21"/>
                <w:szCs w:val="21"/>
              </w:rPr>
            </w:pPr>
            <w:r>
              <w:rPr>
                <w:rFonts w:ascii="Helvetica" w:hAnsi="Helvetica" w:cs="Helvetica"/>
                <w:color w:val="333333"/>
                <w:sz w:val="21"/>
                <w:szCs w:val="21"/>
              </w:rPr>
              <w:t>Agree with the majority</w:t>
            </w:r>
          </w:p>
        </w:tc>
      </w:tr>
      <w:tr w:rsidR="003477A5">
        <w:tc>
          <w:tcPr>
            <w:tcW w:w="426" w:type="dxa"/>
            <w:shd w:val="clear" w:color="auto" w:fill="auto"/>
            <w:tcMar>
              <w:top w:w="0" w:type="dxa"/>
              <w:left w:w="0" w:type="dxa"/>
              <w:bottom w:w="0" w:type="dxa"/>
              <w:right w:w="0" w:type="dxa"/>
            </w:tcMar>
          </w:tcPr>
          <w:p w:rsidR="003477A5" w:rsidRDefault="00A67CBF">
            <w:r>
              <w:rPr>
                <w:rFonts w:ascii="Helvetica" w:hAnsi="Helvetica" w:cs="Helvetica"/>
                <w:color w:val="333333"/>
                <w:sz w:val="21"/>
                <w:szCs w:val="21"/>
              </w:rPr>
              <w:t>  </w:t>
            </w:r>
          </w:p>
        </w:tc>
        <w:tc>
          <w:tcPr>
            <w:tcW w:w="2860" w:type="dxa"/>
            <w:shd w:val="clear" w:color="auto" w:fill="auto"/>
            <w:tcMar>
              <w:top w:w="0" w:type="dxa"/>
              <w:left w:w="0" w:type="dxa"/>
              <w:bottom w:w="0" w:type="dxa"/>
              <w:right w:w="0" w:type="dxa"/>
            </w:tcMar>
            <w:vAlign w:val="center"/>
          </w:tcPr>
          <w:p w:rsidR="003477A5" w:rsidRDefault="00A67CBF">
            <w:pPr>
              <w:rPr>
                <w:rFonts w:ascii="Helvetica" w:hAnsi="Helvetica" w:cs="Helvetica"/>
                <w:color w:val="333333"/>
                <w:sz w:val="21"/>
                <w:szCs w:val="21"/>
              </w:rPr>
            </w:pPr>
            <w:r>
              <w:rPr>
                <w:rFonts w:ascii="Helvetica" w:hAnsi="Helvetica" w:cs="Helvetica"/>
                <w:color w:val="333333"/>
                <w:sz w:val="21"/>
                <w:szCs w:val="21"/>
              </w:rPr>
              <w:t>Disagree with the majority</w:t>
            </w:r>
          </w:p>
        </w:tc>
      </w:tr>
      <w:tr w:rsidR="003477A5">
        <w:tc>
          <w:tcPr>
            <w:tcW w:w="426" w:type="dxa"/>
            <w:shd w:val="clear" w:color="auto" w:fill="auto"/>
            <w:tcMar>
              <w:top w:w="0" w:type="dxa"/>
              <w:left w:w="0" w:type="dxa"/>
              <w:bottom w:w="0" w:type="dxa"/>
              <w:right w:w="0" w:type="dxa"/>
            </w:tcMar>
          </w:tcPr>
          <w:p w:rsidR="003477A5" w:rsidRDefault="00A67CBF">
            <w:r>
              <w:rPr>
                <w:rFonts w:ascii="Helvetica" w:hAnsi="Helvetica" w:cs="Helvetica"/>
                <w:color w:val="333333"/>
                <w:sz w:val="21"/>
                <w:szCs w:val="21"/>
              </w:rPr>
              <w:t>  </w:t>
            </w:r>
          </w:p>
        </w:tc>
        <w:tc>
          <w:tcPr>
            <w:tcW w:w="2860" w:type="dxa"/>
            <w:shd w:val="clear" w:color="auto" w:fill="auto"/>
            <w:tcMar>
              <w:top w:w="0" w:type="dxa"/>
              <w:left w:w="0" w:type="dxa"/>
              <w:bottom w:w="0" w:type="dxa"/>
              <w:right w:w="0" w:type="dxa"/>
            </w:tcMar>
            <w:vAlign w:val="center"/>
          </w:tcPr>
          <w:p w:rsidR="003477A5" w:rsidRDefault="00A67CBF">
            <w:pPr>
              <w:rPr>
                <w:rFonts w:ascii="Helvetica" w:hAnsi="Helvetica" w:cs="Helvetica"/>
                <w:color w:val="333333"/>
                <w:sz w:val="21"/>
                <w:szCs w:val="21"/>
              </w:rPr>
            </w:pPr>
            <w:r>
              <w:rPr>
                <w:rFonts w:ascii="Helvetica" w:hAnsi="Helvetica" w:cs="Helvetica"/>
                <w:color w:val="333333"/>
                <w:sz w:val="21"/>
                <w:szCs w:val="21"/>
              </w:rPr>
              <w:t>Wholly disagree</w:t>
            </w:r>
          </w:p>
        </w:tc>
      </w:tr>
    </w:tbl>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8. Why? </w:t>
      </w:r>
    </w:p>
    <w:p w:rsidR="003477A5" w:rsidRDefault="003477A5">
      <w:pPr>
        <w:rPr>
          <w:rFonts w:ascii="Helvetica" w:hAnsi="Helvetica" w:cs="Helvetica"/>
          <w:color w:val="333333"/>
          <w:sz w:val="21"/>
          <w:szCs w:val="21"/>
        </w:rPr>
      </w:pP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3477A5">
            <w:pPr>
              <w:rPr>
                <w:rFonts w:ascii="Helvetica" w:hAnsi="Helvetica" w:cs="Helvetica"/>
                <w:color w:val="333333"/>
                <w:sz w:val="21"/>
                <w:szCs w:val="21"/>
              </w:rPr>
            </w:pPr>
          </w:p>
          <w:p w:rsidR="003477A5" w:rsidRDefault="00A67CBF">
            <w:r>
              <w:rPr>
                <w:rFonts w:ascii="Helvetica" w:hAnsi="Helvetica" w:cs="Helvetica"/>
                <w:color w:val="333333"/>
                <w:sz w:val="21"/>
                <w:szCs w:val="21"/>
              </w:rPr>
              <w:t xml:space="preserve">We wholly </w:t>
            </w:r>
            <w:r>
              <w:rPr>
                <w:rFonts w:ascii="Helvetica" w:hAnsi="Helvetica" w:cs="Helvetica"/>
                <w:b/>
                <w:color w:val="333333"/>
                <w:sz w:val="21"/>
                <w:szCs w:val="21"/>
              </w:rPr>
              <w:t>agree with the priorities (‘Objectives’) but think that some of them might be amplified</w:t>
            </w:r>
            <w:r>
              <w:rPr>
                <w:rFonts w:ascii="Helvetica" w:hAnsi="Helvetica" w:cs="Helvetica"/>
                <w:color w:val="333333"/>
                <w:sz w:val="21"/>
                <w:szCs w:val="21"/>
              </w:rPr>
              <w:t xml:space="preserve"> – see answer to 9, below. Our October 2017 publication, </w:t>
            </w:r>
            <w:r>
              <w:rPr>
                <w:rFonts w:ascii="Helvetica" w:hAnsi="Helvetica" w:cs="Helvetica"/>
                <w:i/>
                <w:color w:val="333333"/>
                <w:sz w:val="21"/>
                <w:szCs w:val="21"/>
              </w:rPr>
              <w:t>Connecting the Dots,</w:t>
            </w:r>
            <w:r>
              <w:rPr>
                <w:rFonts w:ascii="Helvetica" w:hAnsi="Helvetica" w:cs="Helvetica"/>
                <w:color w:val="333333"/>
                <w:sz w:val="21"/>
                <w:szCs w:val="21"/>
              </w:rPr>
              <w:t xml:space="preserve"> set out our initial views on the successor arrangements to the Great Western &amp; CrossCountry franchises arrived at following extensive consultation (see:</w:t>
            </w:r>
            <w:r>
              <w:t xml:space="preserve"> </w:t>
            </w:r>
            <w:hyperlink r:id="rId8" w:history="1">
              <w:r>
                <w:rPr>
                  <w:rStyle w:val="Hyperlink"/>
                  <w:rFonts w:ascii="Helvetica" w:hAnsi="Helvetica" w:cs="Helvetica"/>
                  <w:sz w:val="21"/>
                  <w:szCs w:val="21"/>
                </w:rPr>
                <w:t>http://travelwatchsouthwest.org/documents/</w:t>
              </w:r>
            </w:hyperlink>
            <w:r>
              <w:rPr>
                <w:rFonts w:ascii="Helvetica" w:hAnsi="Helvetica" w:cs="Helvetica"/>
                <w:color w:val="333333"/>
                <w:sz w:val="21"/>
                <w:szCs w:val="21"/>
              </w:rPr>
              <w:t xml:space="preserve"> ) .  In summarising our approach, we said:, </w:t>
            </w:r>
          </w:p>
          <w:p w:rsidR="003477A5" w:rsidRDefault="00A67CBF">
            <w:pPr>
              <w:ind w:left="720"/>
            </w:pPr>
            <w:r>
              <w:rPr>
                <w:rFonts w:ascii="Garamond" w:hAnsi="Garamond" w:cs="Calibri"/>
                <w:lang w:eastAsia="en-US"/>
              </w:rPr>
              <w:t>“Good public transport is an enabler of development. It can help unlock the growth necessary for sustainable economic prosperity, providing access for work, services and leisure.  Successful provision requires addressing the needs of a growing - and changing – population.  It should be achieved in ways that protect the natural advantages of the South West, which contribute to reducing road congestion and that address the growing awareness of the health impacts of road transport generally and of the carbon and particulate emissions of the internal combustion engine</w:t>
            </w:r>
            <w:r>
              <w:rPr>
                <w:rFonts w:cs="Calibri"/>
                <w:sz w:val="28"/>
                <w:szCs w:val="28"/>
                <w:lang w:eastAsia="en-US"/>
              </w:rPr>
              <w:t xml:space="preserve">.” </w:t>
            </w:r>
          </w:p>
          <w:p w:rsidR="003477A5" w:rsidRDefault="00A67CBF">
            <w:pPr>
              <w:ind w:left="720"/>
              <w:rPr>
                <w:rFonts w:cs="Calibri"/>
                <w:sz w:val="28"/>
                <w:szCs w:val="28"/>
                <w:lang w:eastAsia="en-US"/>
              </w:rPr>
            </w:pPr>
            <w:r>
              <w:rPr>
                <w:rFonts w:cs="Calibri"/>
                <w:sz w:val="28"/>
                <w:szCs w:val="28"/>
                <w:lang w:eastAsia="en-US"/>
              </w:rPr>
              <w:t xml:space="preserve"> </w:t>
            </w:r>
          </w:p>
          <w:p w:rsidR="003477A5" w:rsidRDefault="00A67CBF">
            <w:pPr>
              <w:spacing w:after="240"/>
            </w:pPr>
            <w:r>
              <w:rPr>
                <w:rFonts w:ascii="Helvetica" w:hAnsi="Helvetica" w:cs="Helvetica"/>
                <w:color w:val="333333"/>
                <w:sz w:val="21"/>
                <w:szCs w:val="21"/>
              </w:rPr>
              <w:t xml:space="preserve">The successor to the present Great Western franchise generally, and the South West specifically, face </w:t>
            </w:r>
            <w:r>
              <w:rPr>
                <w:rFonts w:ascii="Helvetica" w:hAnsi="Helvetica" w:cs="Helvetica"/>
                <w:b/>
                <w:color w:val="333333"/>
                <w:sz w:val="21"/>
                <w:szCs w:val="21"/>
              </w:rPr>
              <w:t>four particular challenges</w:t>
            </w:r>
            <w:r>
              <w:rPr>
                <w:rFonts w:ascii="Helvetica" w:hAnsi="Helvetica" w:cs="Helvetica"/>
                <w:color w:val="333333"/>
                <w:sz w:val="21"/>
                <w:szCs w:val="21"/>
              </w:rPr>
              <w:t>:</w:t>
            </w:r>
          </w:p>
          <w:p w:rsidR="003477A5" w:rsidRDefault="00A67CBF">
            <w:pPr>
              <w:pStyle w:val="ListParagraph"/>
              <w:numPr>
                <w:ilvl w:val="0"/>
                <w:numId w:val="2"/>
              </w:numPr>
            </w:pPr>
            <w:r>
              <w:rPr>
                <w:rFonts w:ascii="Helvetica" w:hAnsi="Helvetica" w:cs="Helvetica"/>
                <w:b/>
                <w:color w:val="333333"/>
                <w:sz w:val="21"/>
                <w:szCs w:val="21"/>
              </w:rPr>
              <w:t xml:space="preserve">Accommodating substantial population growth; </w:t>
            </w:r>
            <w:r>
              <w:rPr>
                <w:rFonts w:ascii="Helvetica" w:hAnsi="Helvetica" w:cs="Helvetica"/>
                <w:color w:val="333333"/>
                <w:sz w:val="21"/>
                <w:szCs w:val="21"/>
              </w:rPr>
              <w:t>previous franchise awards have not been planned in a way that made adequate provision for the growth experienced and projected over the early decades if the present century.</w:t>
            </w:r>
          </w:p>
          <w:p w:rsidR="003477A5" w:rsidRDefault="003477A5">
            <w:pPr>
              <w:pStyle w:val="ListParagraph"/>
            </w:pPr>
          </w:p>
          <w:p w:rsidR="003477A5" w:rsidRDefault="00A67CBF">
            <w:pPr>
              <w:pStyle w:val="ListParagraph"/>
              <w:numPr>
                <w:ilvl w:val="0"/>
                <w:numId w:val="2"/>
              </w:numPr>
            </w:pPr>
            <w:r>
              <w:rPr>
                <w:rFonts w:ascii="Helvetica" w:hAnsi="Helvetica" w:cs="Helvetica"/>
                <w:b/>
                <w:color w:val="333333"/>
                <w:sz w:val="21"/>
                <w:szCs w:val="21"/>
              </w:rPr>
              <w:t xml:space="preserve">Making good the way in which the succession of direct awards has meant that passengers have missed out from service quality enhancements associated with franchise competitions; </w:t>
            </w:r>
            <w:r>
              <w:rPr>
                <w:rFonts w:ascii="Helvetica" w:hAnsi="Helvetica" w:cs="Helvetica"/>
                <w:color w:val="333333"/>
                <w:sz w:val="21"/>
                <w:szCs w:val="21"/>
              </w:rPr>
              <w:t xml:space="preserve">the absence of delay/repay on GWR is just one of several examples. </w:t>
            </w:r>
          </w:p>
          <w:p w:rsidR="003477A5" w:rsidRDefault="003477A5">
            <w:pPr>
              <w:pStyle w:val="ListParagraph"/>
            </w:pPr>
          </w:p>
          <w:p w:rsidR="003477A5" w:rsidRDefault="00A67CBF">
            <w:pPr>
              <w:pStyle w:val="ListParagraph"/>
              <w:numPr>
                <w:ilvl w:val="0"/>
                <w:numId w:val="2"/>
              </w:numPr>
            </w:pPr>
            <w:r>
              <w:rPr>
                <w:rFonts w:ascii="Helvetica" w:hAnsi="Helvetica" w:cs="Helvetica"/>
                <w:b/>
                <w:color w:val="333333"/>
                <w:sz w:val="21"/>
                <w:szCs w:val="21"/>
              </w:rPr>
              <w:t xml:space="preserve">Meeting the up-swell in popular demand for a less fragmented approach to the provision of public transport services generally and for rail specifically; </w:t>
            </w:r>
            <w:r>
              <w:rPr>
                <w:rFonts w:ascii="Helvetica" w:hAnsi="Helvetica" w:cs="Helvetica"/>
                <w:color w:val="333333"/>
                <w:sz w:val="21"/>
                <w:szCs w:val="21"/>
              </w:rPr>
              <w:t>irrespective of party politics, it is clear that most citizens are dissatisfied with what they believe to be the effect of successive governments’ franchising policies on the national rail network.  The new Great Western franchise provides an opportunity to show that franchising does not necessarily mean fragmented networks and uncoordinated service provision.</w:t>
            </w:r>
          </w:p>
          <w:p w:rsidR="003477A5" w:rsidRDefault="003477A5">
            <w:pPr>
              <w:pStyle w:val="ListParagraph"/>
            </w:pPr>
          </w:p>
          <w:p w:rsidR="003477A5" w:rsidRDefault="00A67CBF">
            <w:pPr>
              <w:pStyle w:val="ListParagraph"/>
              <w:numPr>
                <w:ilvl w:val="0"/>
                <w:numId w:val="2"/>
              </w:numPr>
            </w:pPr>
            <w:r>
              <w:rPr>
                <w:rFonts w:ascii="Helvetica" w:hAnsi="Helvetica" w:cs="Helvetica"/>
                <w:b/>
                <w:color w:val="333333"/>
                <w:sz w:val="21"/>
                <w:szCs w:val="21"/>
              </w:rPr>
              <w:t>Addressing the drivers of passenger satisfaction;</w:t>
            </w:r>
            <w:r>
              <w:rPr>
                <w:rFonts w:ascii="Helvetica" w:hAnsi="Helvetica" w:cs="Helvetica"/>
                <w:color w:val="333333"/>
                <w:sz w:val="21"/>
                <w:szCs w:val="21"/>
              </w:rPr>
              <w:t xml:space="preserve"> dissatisfaction with Great Western’s services is particularly marked compared to those of analogous service providers.  While the most recent National Passenger Surveys record that 9% of passengers using Virgin Trains West Coast and Virgin Trains East Coast were dissatisfied with their journey experience, almost twice that number – 17% - of Great Western’s long distance service passengers were dissatisfied while almost one in four of passengers were dissatisfied across the range of GWR services. </w:t>
            </w:r>
          </w:p>
          <w:p w:rsidR="003477A5" w:rsidRDefault="003477A5">
            <w:pPr>
              <w:pStyle w:val="ListParagraph"/>
              <w:rPr>
                <w:rFonts w:ascii="Helvetica" w:hAnsi="Helvetica" w:cs="Helvetica"/>
                <w:color w:val="333333"/>
                <w:sz w:val="21"/>
                <w:szCs w:val="21"/>
              </w:rPr>
            </w:pPr>
          </w:p>
          <w:p w:rsidR="003477A5" w:rsidRDefault="00A67CBF">
            <w:pPr>
              <w:pStyle w:val="ListParagraph"/>
            </w:pPr>
            <w:r>
              <w:rPr>
                <w:rFonts w:ascii="Helvetica" w:hAnsi="Helvetica" w:cs="Helvetica"/>
                <w:color w:val="333333"/>
                <w:sz w:val="21"/>
                <w:szCs w:val="21"/>
              </w:rPr>
              <w:t xml:space="preserve">Detailed analysis shows similarly </w:t>
            </w:r>
            <w:r>
              <w:rPr>
                <w:rFonts w:ascii="Helvetica" w:hAnsi="Helvetica" w:cs="Helvetica"/>
                <w:b/>
                <w:color w:val="333333"/>
                <w:sz w:val="21"/>
                <w:szCs w:val="21"/>
              </w:rPr>
              <w:t>disappointing results for Great Western passengers across all the principal drivers of passenger satisfaction</w:t>
            </w:r>
            <w:r>
              <w:rPr>
                <w:rFonts w:ascii="Helvetica" w:hAnsi="Helvetica" w:cs="Helvetica"/>
                <w:color w:val="333333"/>
                <w:sz w:val="21"/>
                <w:szCs w:val="21"/>
              </w:rPr>
              <w:t>. The following table compares responses reported in the Spring 2017 National Rail Passenger Survey for Great Western services generally, Great Western Long Distance services, Virgin Trains West Coast, Virgin Trains East Coast and CrossCountry. The measures selected correspond to those identified as the principal drivers of passenger satisfaction and passenger dissatisfaction nationally in Transport Focus research based on the Survey.</w:t>
            </w:r>
          </w:p>
          <w:p w:rsidR="003477A5" w:rsidRDefault="003477A5">
            <w:pPr>
              <w:pStyle w:val="ListParagraph"/>
              <w:rPr>
                <w:rFonts w:ascii="Helvetica" w:hAnsi="Helvetica" w:cs="Helvetica"/>
                <w:b/>
                <w:color w:val="333333"/>
                <w:sz w:val="21"/>
                <w:szCs w:val="21"/>
              </w:rPr>
            </w:pPr>
          </w:p>
          <w:tbl>
            <w:tblPr>
              <w:tblW w:w="8297" w:type="dxa"/>
              <w:tblInd w:w="720" w:type="dxa"/>
              <w:tblCellMar>
                <w:left w:w="10" w:type="dxa"/>
                <w:right w:w="10" w:type="dxa"/>
              </w:tblCellMar>
              <w:tblLook w:val="0000" w:firstRow="0" w:lastRow="0" w:firstColumn="0" w:lastColumn="0" w:noHBand="0" w:noVBand="0"/>
            </w:tblPr>
            <w:tblGrid>
              <w:gridCol w:w="1824"/>
              <w:gridCol w:w="1203"/>
              <w:gridCol w:w="1310"/>
              <w:gridCol w:w="1277"/>
              <w:gridCol w:w="1249"/>
              <w:gridCol w:w="1434"/>
            </w:tblGrid>
            <w:tr w:rsidR="003477A5">
              <w:tc>
                <w:tcPr>
                  <w:tcW w:w="1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3477A5">
                  <w:pPr>
                    <w:pStyle w:val="ListParagraph"/>
                    <w:ind w:left="0"/>
                    <w:textAlignment w:val="auto"/>
                    <w:rPr>
                      <w:rFonts w:ascii="Calibri" w:eastAsia="Calibri" w:hAnsi="Calibri"/>
                      <w:sz w:val="22"/>
                      <w:szCs w:val="22"/>
                    </w:rPr>
                  </w:pP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b/>
                      <w:sz w:val="22"/>
                      <w:szCs w:val="22"/>
                    </w:rPr>
                  </w:pPr>
                  <w:r>
                    <w:rPr>
                      <w:rFonts w:ascii="Calibri" w:eastAsia="Calibri" w:hAnsi="Calibri"/>
                      <w:b/>
                      <w:sz w:val="22"/>
                      <w:szCs w:val="22"/>
                    </w:rPr>
                    <w:t xml:space="preserve">GWR, All services </w:t>
                  </w:r>
                </w:p>
              </w:tc>
              <w:tc>
                <w:tcPr>
                  <w:tcW w:w="13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b/>
                      <w:sz w:val="22"/>
                      <w:szCs w:val="22"/>
                    </w:rPr>
                  </w:pPr>
                  <w:r>
                    <w:rPr>
                      <w:rFonts w:ascii="Calibri" w:eastAsia="Calibri" w:hAnsi="Calibri"/>
                      <w:b/>
                      <w:sz w:val="22"/>
                      <w:szCs w:val="22"/>
                    </w:rPr>
                    <w:t>GWR Long-Distance</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b/>
                      <w:sz w:val="22"/>
                      <w:szCs w:val="22"/>
                    </w:rPr>
                  </w:pPr>
                  <w:r>
                    <w:rPr>
                      <w:rFonts w:ascii="Calibri" w:eastAsia="Calibri" w:hAnsi="Calibri"/>
                      <w:b/>
                      <w:sz w:val="22"/>
                      <w:szCs w:val="22"/>
                    </w:rPr>
                    <w:t>Virgin Trains West Coast</w:t>
                  </w:r>
                </w:p>
              </w:tc>
              <w:tc>
                <w:tcPr>
                  <w:tcW w:w="1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b/>
                      <w:sz w:val="22"/>
                      <w:szCs w:val="22"/>
                    </w:rPr>
                  </w:pPr>
                  <w:r>
                    <w:rPr>
                      <w:rFonts w:ascii="Calibri" w:eastAsia="Calibri" w:hAnsi="Calibri"/>
                      <w:b/>
                      <w:sz w:val="22"/>
                      <w:szCs w:val="22"/>
                    </w:rPr>
                    <w:t>Virgin Trains East Coast</w:t>
                  </w:r>
                </w:p>
              </w:tc>
              <w:tc>
                <w:tcPr>
                  <w:tcW w:w="14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b/>
                      <w:sz w:val="22"/>
                      <w:szCs w:val="22"/>
                    </w:rPr>
                  </w:pPr>
                  <w:r>
                    <w:rPr>
                      <w:rFonts w:ascii="Calibri" w:eastAsia="Calibri" w:hAnsi="Calibri"/>
                      <w:b/>
                      <w:sz w:val="22"/>
                      <w:szCs w:val="22"/>
                    </w:rPr>
                    <w:t>Arriva</w:t>
                  </w:r>
                </w:p>
                <w:p w:rsidR="003477A5" w:rsidRDefault="00A67CBF">
                  <w:pPr>
                    <w:pStyle w:val="ListParagraph"/>
                    <w:ind w:left="0"/>
                    <w:textAlignment w:val="auto"/>
                    <w:rPr>
                      <w:rFonts w:ascii="Calibri" w:eastAsia="Calibri" w:hAnsi="Calibri"/>
                      <w:b/>
                      <w:sz w:val="22"/>
                      <w:szCs w:val="22"/>
                    </w:rPr>
                  </w:pPr>
                  <w:r>
                    <w:rPr>
                      <w:rFonts w:ascii="Calibri" w:eastAsia="Calibri" w:hAnsi="Calibri"/>
                      <w:b/>
                      <w:sz w:val="22"/>
                      <w:szCs w:val="22"/>
                    </w:rPr>
                    <w:t>CrossCountry</w:t>
                  </w:r>
                </w:p>
              </w:tc>
            </w:tr>
            <w:tr w:rsidR="003477A5">
              <w:tc>
                <w:tcPr>
                  <w:tcW w:w="1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b/>
                      <w:sz w:val="22"/>
                      <w:szCs w:val="22"/>
                    </w:rPr>
                  </w:pPr>
                  <w:r>
                    <w:rPr>
                      <w:rFonts w:ascii="Calibri" w:eastAsia="Calibri" w:hAnsi="Calibri"/>
                      <w:b/>
                      <w:sz w:val="22"/>
                      <w:szCs w:val="22"/>
                    </w:rPr>
                    <w:t>Performance &amp; Reliability</w:t>
                  </w: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sz w:val="22"/>
                      <w:szCs w:val="22"/>
                    </w:rPr>
                  </w:pPr>
                  <w:r>
                    <w:rPr>
                      <w:rFonts w:ascii="Calibri" w:eastAsia="Calibri" w:hAnsi="Calibri"/>
                      <w:sz w:val="22"/>
                      <w:szCs w:val="22"/>
                    </w:rPr>
                    <w:t>76</w:t>
                  </w:r>
                </w:p>
              </w:tc>
              <w:tc>
                <w:tcPr>
                  <w:tcW w:w="13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sz w:val="22"/>
                      <w:szCs w:val="22"/>
                    </w:rPr>
                  </w:pPr>
                  <w:r>
                    <w:rPr>
                      <w:rFonts w:ascii="Calibri" w:eastAsia="Calibri" w:hAnsi="Calibri"/>
                      <w:sz w:val="22"/>
                      <w:szCs w:val="22"/>
                    </w:rPr>
                    <w:t>82</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sz w:val="22"/>
                      <w:szCs w:val="22"/>
                    </w:rPr>
                  </w:pPr>
                  <w:r>
                    <w:rPr>
                      <w:rFonts w:ascii="Calibri" w:eastAsia="Calibri" w:hAnsi="Calibri"/>
                      <w:sz w:val="22"/>
                      <w:szCs w:val="22"/>
                    </w:rPr>
                    <w:t>88</w:t>
                  </w:r>
                </w:p>
              </w:tc>
              <w:tc>
                <w:tcPr>
                  <w:tcW w:w="1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sz w:val="22"/>
                      <w:szCs w:val="22"/>
                    </w:rPr>
                  </w:pPr>
                  <w:r>
                    <w:rPr>
                      <w:rFonts w:ascii="Calibri" w:eastAsia="Calibri" w:hAnsi="Calibri"/>
                      <w:sz w:val="22"/>
                      <w:szCs w:val="22"/>
                    </w:rPr>
                    <w:t>86</w:t>
                  </w:r>
                </w:p>
              </w:tc>
              <w:tc>
                <w:tcPr>
                  <w:tcW w:w="14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sz w:val="22"/>
                      <w:szCs w:val="22"/>
                    </w:rPr>
                  </w:pPr>
                  <w:r>
                    <w:rPr>
                      <w:rFonts w:ascii="Calibri" w:eastAsia="Calibri" w:hAnsi="Calibri"/>
                      <w:sz w:val="22"/>
                      <w:szCs w:val="22"/>
                    </w:rPr>
                    <w:t>86</w:t>
                  </w:r>
                </w:p>
              </w:tc>
            </w:tr>
            <w:tr w:rsidR="003477A5">
              <w:tc>
                <w:tcPr>
                  <w:tcW w:w="1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b/>
                      <w:sz w:val="22"/>
                      <w:szCs w:val="22"/>
                    </w:rPr>
                  </w:pPr>
                  <w:r>
                    <w:rPr>
                      <w:rFonts w:ascii="Calibri" w:eastAsia="Calibri" w:hAnsi="Calibri"/>
                      <w:b/>
                      <w:sz w:val="22"/>
                      <w:szCs w:val="22"/>
                    </w:rPr>
                    <w:t>Train interior cleanliness</w:t>
                  </w: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sz w:val="22"/>
                      <w:szCs w:val="22"/>
                    </w:rPr>
                  </w:pPr>
                  <w:r>
                    <w:rPr>
                      <w:rFonts w:ascii="Calibri" w:eastAsia="Calibri" w:hAnsi="Calibri"/>
                      <w:sz w:val="22"/>
                      <w:szCs w:val="22"/>
                    </w:rPr>
                    <w:t>78</w:t>
                  </w:r>
                </w:p>
              </w:tc>
              <w:tc>
                <w:tcPr>
                  <w:tcW w:w="13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sz w:val="22"/>
                      <w:szCs w:val="22"/>
                    </w:rPr>
                  </w:pPr>
                  <w:r>
                    <w:rPr>
                      <w:rFonts w:ascii="Calibri" w:eastAsia="Calibri" w:hAnsi="Calibri"/>
                      <w:sz w:val="22"/>
                      <w:szCs w:val="22"/>
                    </w:rPr>
                    <w:t>82</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sz w:val="22"/>
                      <w:szCs w:val="22"/>
                    </w:rPr>
                  </w:pPr>
                  <w:r>
                    <w:rPr>
                      <w:rFonts w:ascii="Calibri" w:eastAsia="Calibri" w:hAnsi="Calibri"/>
                      <w:sz w:val="22"/>
                      <w:szCs w:val="22"/>
                    </w:rPr>
                    <w:t>90</w:t>
                  </w:r>
                </w:p>
              </w:tc>
              <w:tc>
                <w:tcPr>
                  <w:tcW w:w="1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sz w:val="22"/>
                      <w:szCs w:val="22"/>
                    </w:rPr>
                  </w:pPr>
                  <w:r>
                    <w:rPr>
                      <w:rFonts w:ascii="Calibri" w:eastAsia="Calibri" w:hAnsi="Calibri"/>
                      <w:sz w:val="22"/>
                      <w:szCs w:val="22"/>
                    </w:rPr>
                    <w:t>89</w:t>
                  </w:r>
                </w:p>
              </w:tc>
              <w:tc>
                <w:tcPr>
                  <w:tcW w:w="14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sz w:val="22"/>
                      <w:szCs w:val="22"/>
                    </w:rPr>
                  </w:pPr>
                  <w:r>
                    <w:rPr>
                      <w:rFonts w:ascii="Calibri" w:eastAsia="Calibri" w:hAnsi="Calibri"/>
                      <w:sz w:val="22"/>
                      <w:szCs w:val="22"/>
                    </w:rPr>
                    <w:t>81</w:t>
                  </w:r>
                </w:p>
              </w:tc>
            </w:tr>
            <w:tr w:rsidR="003477A5">
              <w:tc>
                <w:tcPr>
                  <w:tcW w:w="1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b/>
                      <w:sz w:val="22"/>
                      <w:szCs w:val="22"/>
                    </w:rPr>
                  </w:pPr>
                  <w:r>
                    <w:rPr>
                      <w:rFonts w:ascii="Calibri" w:eastAsia="Calibri" w:hAnsi="Calibri"/>
                      <w:b/>
                      <w:sz w:val="22"/>
                      <w:szCs w:val="22"/>
                    </w:rPr>
                    <w:t>Upkeep &amp; repair of trains</w:t>
                  </w: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sz w:val="22"/>
                      <w:szCs w:val="22"/>
                    </w:rPr>
                  </w:pPr>
                  <w:r>
                    <w:rPr>
                      <w:rFonts w:ascii="Calibri" w:eastAsia="Calibri" w:hAnsi="Calibri"/>
                      <w:sz w:val="22"/>
                      <w:szCs w:val="22"/>
                    </w:rPr>
                    <w:t>75</w:t>
                  </w:r>
                </w:p>
              </w:tc>
              <w:tc>
                <w:tcPr>
                  <w:tcW w:w="13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sz w:val="22"/>
                      <w:szCs w:val="22"/>
                    </w:rPr>
                  </w:pPr>
                  <w:r>
                    <w:rPr>
                      <w:rFonts w:ascii="Calibri" w:eastAsia="Calibri" w:hAnsi="Calibri"/>
                      <w:sz w:val="22"/>
                      <w:szCs w:val="22"/>
                    </w:rPr>
                    <w:t>79</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sz w:val="22"/>
                      <w:szCs w:val="22"/>
                    </w:rPr>
                  </w:pPr>
                  <w:r>
                    <w:rPr>
                      <w:rFonts w:ascii="Calibri" w:eastAsia="Calibri" w:hAnsi="Calibri"/>
                      <w:sz w:val="22"/>
                      <w:szCs w:val="22"/>
                    </w:rPr>
                    <w:t>90</w:t>
                  </w:r>
                </w:p>
              </w:tc>
              <w:tc>
                <w:tcPr>
                  <w:tcW w:w="1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sz w:val="22"/>
                      <w:szCs w:val="22"/>
                    </w:rPr>
                  </w:pPr>
                  <w:r>
                    <w:rPr>
                      <w:rFonts w:ascii="Calibri" w:eastAsia="Calibri" w:hAnsi="Calibri"/>
                      <w:sz w:val="22"/>
                      <w:szCs w:val="22"/>
                    </w:rPr>
                    <w:t>89</w:t>
                  </w:r>
                </w:p>
              </w:tc>
              <w:tc>
                <w:tcPr>
                  <w:tcW w:w="14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sz w:val="22"/>
                      <w:szCs w:val="22"/>
                    </w:rPr>
                  </w:pPr>
                  <w:r>
                    <w:rPr>
                      <w:rFonts w:ascii="Calibri" w:eastAsia="Calibri" w:hAnsi="Calibri"/>
                      <w:sz w:val="22"/>
                      <w:szCs w:val="22"/>
                    </w:rPr>
                    <w:t>82</w:t>
                  </w:r>
                </w:p>
              </w:tc>
            </w:tr>
            <w:tr w:rsidR="003477A5">
              <w:tc>
                <w:tcPr>
                  <w:tcW w:w="1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b/>
                      <w:sz w:val="22"/>
                      <w:szCs w:val="22"/>
                    </w:rPr>
                  </w:pPr>
                  <w:r>
                    <w:rPr>
                      <w:rFonts w:ascii="Calibri" w:eastAsia="Calibri" w:hAnsi="Calibri"/>
                      <w:b/>
                      <w:sz w:val="22"/>
                      <w:szCs w:val="22"/>
                    </w:rPr>
                    <w:t>Train service frequency</w:t>
                  </w: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sz w:val="22"/>
                      <w:szCs w:val="22"/>
                    </w:rPr>
                  </w:pPr>
                  <w:r>
                    <w:rPr>
                      <w:rFonts w:ascii="Calibri" w:eastAsia="Calibri" w:hAnsi="Calibri"/>
                      <w:sz w:val="22"/>
                      <w:szCs w:val="22"/>
                    </w:rPr>
                    <w:t>76</w:t>
                  </w:r>
                </w:p>
              </w:tc>
              <w:tc>
                <w:tcPr>
                  <w:tcW w:w="13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sz w:val="22"/>
                      <w:szCs w:val="22"/>
                    </w:rPr>
                  </w:pPr>
                  <w:r>
                    <w:rPr>
                      <w:rFonts w:ascii="Calibri" w:eastAsia="Calibri" w:hAnsi="Calibri"/>
                      <w:sz w:val="22"/>
                      <w:szCs w:val="22"/>
                    </w:rPr>
                    <w:t>85</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sz w:val="22"/>
                      <w:szCs w:val="22"/>
                    </w:rPr>
                  </w:pPr>
                  <w:r>
                    <w:rPr>
                      <w:rFonts w:ascii="Calibri" w:eastAsia="Calibri" w:hAnsi="Calibri"/>
                      <w:sz w:val="22"/>
                      <w:szCs w:val="22"/>
                    </w:rPr>
                    <w:t>90</w:t>
                  </w:r>
                </w:p>
              </w:tc>
              <w:tc>
                <w:tcPr>
                  <w:tcW w:w="1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sz w:val="22"/>
                      <w:szCs w:val="22"/>
                    </w:rPr>
                  </w:pPr>
                  <w:r>
                    <w:rPr>
                      <w:rFonts w:ascii="Calibri" w:eastAsia="Calibri" w:hAnsi="Calibri"/>
                      <w:sz w:val="22"/>
                      <w:szCs w:val="22"/>
                    </w:rPr>
                    <w:t>92</w:t>
                  </w:r>
                </w:p>
              </w:tc>
              <w:tc>
                <w:tcPr>
                  <w:tcW w:w="14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sz w:val="22"/>
                      <w:szCs w:val="22"/>
                    </w:rPr>
                  </w:pPr>
                  <w:r>
                    <w:rPr>
                      <w:rFonts w:ascii="Calibri" w:eastAsia="Calibri" w:hAnsi="Calibri"/>
                      <w:sz w:val="22"/>
                      <w:szCs w:val="22"/>
                    </w:rPr>
                    <w:t>84</w:t>
                  </w:r>
                </w:p>
              </w:tc>
            </w:tr>
            <w:tr w:rsidR="003477A5">
              <w:tc>
                <w:tcPr>
                  <w:tcW w:w="1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b/>
                      <w:sz w:val="22"/>
                      <w:szCs w:val="22"/>
                    </w:rPr>
                  </w:pPr>
                  <w:r>
                    <w:rPr>
                      <w:rFonts w:ascii="Calibri" w:eastAsia="Calibri" w:hAnsi="Calibri"/>
                      <w:b/>
                      <w:sz w:val="22"/>
                      <w:szCs w:val="22"/>
                    </w:rPr>
                    <w:t>Space to sit or stand</w:t>
                  </w: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sz w:val="22"/>
                      <w:szCs w:val="22"/>
                    </w:rPr>
                  </w:pPr>
                  <w:r>
                    <w:rPr>
                      <w:rFonts w:ascii="Calibri" w:eastAsia="Calibri" w:hAnsi="Calibri"/>
                      <w:sz w:val="22"/>
                      <w:szCs w:val="22"/>
                    </w:rPr>
                    <w:t>72</w:t>
                  </w:r>
                </w:p>
              </w:tc>
              <w:tc>
                <w:tcPr>
                  <w:tcW w:w="13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sz w:val="22"/>
                      <w:szCs w:val="22"/>
                    </w:rPr>
                  </w:pPr>
                  <w:r>
                    <w:rPr>
                      <w:rFonts w:ascii="Calibri" w:eastAsia="Calibri" w:hAnsi="Calibri"/>
                      <w:sz w:val="22"/>
                      <w:szCs w:val="22"/>
                    </w:rPr>
                    <w:t>72</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sz w:val="22"/>
                      <w:szCs w:val="22"/>
                    </w:rPr>
                  </w:pPr>
                  <w:r>
                    <w:rPr>
                      <w:rFonts w:ascii="Calibri" w:eastAsia="Calibri" w:hAnsi="Calibri"/>
                      <w:sz w:val="22"/>
                      <w:szCs w:val="22"/>
                    </w:rPr>
                    <w:t>81</w:t>
                  </w:r>
                </w:p>
              </w:tc>
              <w:tc>
                <w:tcPr>
                  <w:tcW w:w="1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sz w:val="22"/>
                      <w:szCs w:val="22"/>
                    </w:rPr>
                  </w:pPr>
                  <w:r>
                    <w:rPr>
                      <w:rFonts w:ascii="Calibri" w:eastAsia="Calibri" w:hAnsi="Calibri"/>
                      <w:sz w:val="22"/>
                      <w:szCs w:val="22"/>
                    </w:rPr>
                    <w:t>81</w:t>
                  </w:r>
                </w:p>
              </w:tc>
              <w:tc>
                <w:tcPr>
                  <w:tcW w:w="14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sz w:val="22"/>
                      <w:szCs w:val="22"/>
                    </w:rPr>
                  </w:pPr>
                  <w:r>
                    <w:rPr>
                      <w:rFonts w:ascii="Calibri" w:eastAsia="Calibri" w:hAnsi="Calibri"/>
                      <w:sz w:val="22"/>
                      <w:szCs w:val="22"/>
                    </w:rPr>
                    <w:t>72</w:t>
                  </w:r>
                </w:p>
              </w:tc>
            </w:tr>
            <w:tr w:rsidR="003477A5">
              <w:tc>
                <w:tcPr>
                  <w:tcW w:w="1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b/>
                      <w:sz w:val="22"/>
                      <w:szCs w:val="22"/>
                    </w:rPr>
                  </w:pPr>
                  <w:r>
                    <w:rPr>
                      <w:rFonts w:ascii="Calibri" w:eastAsia="Calibri" w:hAnsi="Calibri"/>
                      <w:b/>
                      <w:sz w:val="22"/>
                      <w:szCs w:val="22"/>
                    </w:rPr>
                    <w:t>Overall station environment</w:t>
                  </w: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sz w:val="22"/>
                      <w:szCs w:val="22"/>
                    </w:rPr>
                  </w:pPr>
                  <w:r>
                    <w:rPr>
                      <w:rFonts w:ascii="Calibri" w:eastAsia="Calibri" w:hAnsi="Calibri"/>
                      <w:sz w:val="22"/>
                      <w:szCs w:val="22"/>
                    </w:rPr>
                    <w:t>79</w:t>
                  </w:r>
                </w:p>
              </w:tc>
              <w:tc>
                <w:tcPr>
                  <w:tcW w:w="13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sz w:val="22"/>
                      <w:szCs w:val="22"/>
                    </w:rPr>
                  </w:pPr>
                  <w:r>
                    <w:rPr>
                      <w:rFonts w:ascii="Calibri" w:eastAsia="Calibri" w:hAnsi="Calibri"/>
                      <w:sz w:val="22"/>
                      <w:szCs w:val="22"/>
                    </w:rPr>
                    <w:t>81</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sz w:val="22"/>
                      <w:szCs w:val="22"/>
                    </w:rPr>
                  </w:pPr>
                  <w:r>
                    <w:rPr>
                      <w:rFonts w:ascii="Calibri" w:eastAsia="Calibri" w:hAnsi="Calibri"/>
                      <w:sz w:val="22"/>
                      <w:szCs w:val="22"/>
                    </w:rPr>
                    <w:t xml:space="preserve">79 </w:t>
                  </w:r>
                </w:p>
              </w:tc>
              <w:tc>
                <w:tcPr>
                  <w:tcW w:w="1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sz w:val="22"/>
                      <w:szCs w:val="22"/>
                    </w:rPr>
                  </w:pPr>
                  <w:r>
                    <w:rPr>
                      <w:rFonts w:ascii="Calibri" w:eastAsia="Calibri" w:hAnsi="Calibri"/>
                      <w:sz w:val="22"/>
                      <w:szCs w:val="22"/>
                    </w:rPr>
                    <w:t>88</w:t>
                  </w:r>
                </w:p>
              </w:tc>
              <w:tc>
                <w:tcPr>
                  <w:tcW w:w="14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sz w:val="22"/>
                      <w:szCs w:val="22"/>
                    </w:rPr>
                  </w:pPr>
                  <w:r>
                    <w:rPr>
                      <w:rFonts w:ascii="Calibri" w:eastAsia="Calibri" w:hAnsi="Calibri"/>
                      <w:sz w:val="22"/>
                      <w:szCs w:val="22"/>
                    </w:rPr>
                    <w:t>84</w:t>
                  </w:r>
                </w:p>
              </w:tc>
            </w:tr>
            <w:tr w:rsidR="003477A5">
              <w:tc>
                <w:tcPr>
                  <w:tcW w:w="1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b/>
                      <w:sz w:val="22"/>
                      <w:szCs w:val="22"/>
                    </w:rPr>
                  </w:pPr>
                  <w:r>
                    <w:rPr>
                      <w:rFonts w:ascii="Calibri" w:eastAsia="Calibri" w:hAnsi="Calibri"/>
                      <w:b/>
                      <w:sz w:val="22"/>
                      <w:szCs w:val="22"/>
                    </w:rPr>
                    <w:t>Journey length (speed)</w:t>
                  </w: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sz w:val="22"/>
                      <w:szCs w:val="22"/>
                    </w:rPr>
                  </w:pPr>
                  <w:r>
                    <w:rPr>
                      <w:rFonts w:ascii="Calibri" w:eastAsia="Calibri" w:hAnsi="Calibri"/>
                      <w:sz w:val="22"/>
                      <w:szCs w:val="22"/>
                    </w:rPr>
                    <w:t>85</w:t>
                  </w:r>
                </w:p>
              </w:tc>
              <w:tc>
                <w:tcPr>
                  <w:tcW w:w="13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sz w:val="22"/>
                      <w:szCs w:val="22"/>
                    </w:rPr>
                  </w:pPr>
                  <w:r>
                    <w:rPr>
                      <w:rFonts w:ascii="Calibri" w:eastAsia="Calibri" w:hAnsi="Calibri"/>
                      <w:sz w:val="22"/>
                      <w:szCs w:val="22"/>
                    </w:rPr>
                    <w:t>86</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sz w:val="22"/>
                      <w:szCs w:val="22"/>
                    </w:rPr>
                  </w:pPr>
                  <w:r>
                    <w:rPr>
                      <w:rFonts w:ascii="Calibri" w:eastAsia="Calibri" w:hAnsi="Calibri"/>
                      <w:sz w:val="22"/>
                      <w:szCs w:val="22"/>
                    </w:rPr>
                    <w:t>93</w:t>
                  </w:r>
                </w:p>
              </w:tc>
              <w:tc>
                <w:tcPr>
                  <w:tcW w:w="1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sz w:val="22"/>
                      <w:szCs w:val="22"/>
                    </w:rPr>
                  </w:pPr>
                  <w:r>
                    <w:rPr>
                      <w:rFonts w:ascii="Calibri" w:eastAsia="Calibri" w:hAnsi="Calibri"/>
                      <w:sz w:val="22"/>
                      <w:szCs w:val="22"/>
                    </w:rPr>
                    <w:t>92</w:t>
                  </w:r>
                </w:p>
              </w:tc>
              <w:tc>
                <w:tcPr>
                  <w:tcW w:w="14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sz w:val="22"/>
                      <w:szCs w:val="22"/>
                    </w:rPr>
                  </w:pPr>
                  <w:r>
                    <w:rPr>
                      <w:rFonts w:ascii="Calibri" w:eastAsia="Calibri" w:hAnsi="Calibri"/>
                      <w:sz w:val="22"/>
                      <w:szCs w:val="22"/>
                    </w:rPr>
                    <w:t>88</w:t>
                  </w:r>
                </w:p>
              </w:tc>
            </w:tr>
            <w:tr w:rsidR="003477A5">
              <w:tc>
                <w:tcPr>
                  <w:tcW w:w="1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b/>
                      <w:sz w:val="22"/>
                      <w:szCs w:val="22"/>
                    </w:rPr>
                  </w:pPr>
                  <w:r>
                    <w:rPr>
                      <w:rFonts w:ascii="Calibri" w:eastAsia="Calibri" w:hAnsi="Calibri"/>
                      <w:b/>
                      <w:sz w:val="22"/>
                      <w:szCs w:val="22"/>
                    </w:rPr>
                    <w:t xml:space="preserve">Handling of delays </w:t>
                  </w: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sz w:val="22"/>
                      <w:szCs w:val="22"/>
                    </w:rPr>
                  </w:pPr>
                  <w:r>
                    <w:rPr>
                      <w:rFonts w:ascii="Calibri" w:eastAsia="Calibri" w:hAnsi="Calibri"/>
                      <w:sz w:val="22"/>
                      <w:szCs w:val="22"/>
                    </w:rPr>
                    <w:t>45</w:t>
                  </w:r>
                </w:p>
              </w:tc>
              <w:tc>
                <w:tcPr>
                  <w:tcW w:w="13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sz w:val="22"/>
                      <w:szCs w:val="22"/>
                    </w:rPr>
                  </w:pPr>
                  <w:r>
                    <w:rPr>
                      <w:rFonts w:ascii="Calibri" w:eastAsia="Calibri" w:hAnsi="Calibri"/>
                      <w:sz w:val="22"/>
                      <w:szCs w:val="22"/>
                    </w:rPr>
                    <w:t>52</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sz w:val="22"/>
                      <w:szCs w:val="22"/>
                    </w:rPr>
                  </w:pPr>
                  <w:r>
                    <w:rPr>
                      <w:rFonts w:ascii="Calibri" w:eastAsia="Calibri" w:hAnsi="Calibri"/>
                      <w:sz w:val="22"/>
                      <w:szCs w:val="22"/>
                    </w:rPr>
                    <w:t>61</w:t>
                  </w:r>
                </w:p>
              </w:tc>
              <w:tc>
                <w:tcPr>
                  <w:tcW w:w="1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sz w:val="22"/>
                      <w:szCs w:val="22"/>
                    </w:rPr>
                  </w:pPr>
                  <w:r>
                    <w:rPr>
                      <w:rFonts w:ascii="Calibri" w:eastAsia="Calibri" w:hAnsi="Calibri"/>
                      <w:sz w:val="22"/>
                      <w:szCs w:val="22"/>
                    </w:rPr>
                    <w:t>63</w:t>
                  </w:r>
                </w:p>
              </w:tc>
              <w:tc>
                <w:tcPr>
                  <w:tcW w:w="14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sz w:val="22"/>
                      <w:szCs w:val="22"/>
                    </w:rPr>
                  </w:pPr>
                  <w:r>
                    <w:rPr>
                      <w:rFonts w:ascii="Calibri" w:eastAsia="Calibri" w:hAnsi="Calibri"/>
                      <w:sz w:val="22"/>
                      <w:szCs w:val="22"/>
                    </w:rPr>
                    <w:t>62</w:t>
                  </w:r>
                </w:p>
              </w:tc>
            </w:tr>
            <w:tr w:rsidR="003477A5">
              <w:tc>
                <w:tcPr>
                  <w:tcW w:w="1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b/>
                      <w:sz w:val="22"/>
                      <w:szCs w:val="22"/>
                    </w:rPr>
                  </w:pPr>
                  <w:r>
                    <w:rPr>
                      <w:rFonts w:ascii="Calibri" w:eastAsia="Calibri" w:hAnsi="Calibri"/>
                      <w:b/>
                      <w:sz w:val="22"/>
                      <w:szCs w:val="22"/>
                    </w:rPr>
                    <w:t>Value for money of ticket</w:t>
                  </w: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sz w:val="22"/>
                      <w:szCs w:val="22"/>
                    </w:rPr>
                  </w:pPr>
                  <w:r>
                    <w:rPr>
                      <w:rFonts w:ascii="Calibri" w:eastAsia="Calibri" w:hAnsi="Calibri"/>
                      <w:sz w:val="22"/>
                      <w:szCs w:val="22"/>
                    </w:rPr>
                    <w:t>47</w:t>
                  </w:r>
                </w:p>
              </w:tc>
              <w:tc>
                <w:tcPr>
                  <w:tcW w:w="13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sz w:val="22"/>
                      <w:szCs w:val="22"/>
                    </w:rPr>
                  </w:pPr>
                  <w:r>
                    <w:rPr>
                      <w:rFonts w:ascii="Calibri" w:eastAsia="Calibri" w:hAnsi="Calibri"/>
                      <w:sz w:val="22"/>
                      <w:szCs w:val="22"/>
                    </w:rPr>
                    <w:t>46</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sz w:val="22"/>
                      <w:szCs w:val="22"/>
                    </w:rPr>
                  </w:pPr>
                  <w:r>
                    <w:rPr>
                      <w:rFonts w:ascii="Calibri" w:eastAsia="Calibri" w:hAnsi="Calibri"/>
                      <w:sz w:val="22"/>
                      <w:szCs w:val="22"/>
                    </w:rPr>
                    <w:t>64</w:t>
                  </w:r>
                </w:p>
              </w:tc>
              <w:tc>
                <w:tcPr>
                  <w:tcW w:w="1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sz w:val="22"/>
                      <w:szCs w:val="22"/>
                    </w:rPr>
                  </w:pPr>
                  <w:r>
                    <w:rPr>
                      <w:rFonts w:ascii="Calibri" w:eastAsia="Calibri" w:hAnsi="Calibri"/>
                      <w:sz w:val="22"/>
                      <w:szCs w:val="22"/>
                    </w:rPr>
                    <w:t>60</w:t>
                  </w:r>
                </w:p>
              </w:tc>
              <w:tc>
                <w:tcPr>
                  <w:tcW w:w="14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ind w:left="0"/>
                    <w:textAlignment w:val="auto"/>
                    <w:rPr>
                      <w:rFonts w:ascii="Calibri" w:eastAsia="Calibri" w:hAnsi="Calibri"/>
                      <w:sz w:val="22"/>
                      <w:szCs w:val="22"/>
                    </w:rPr>
                  </w:pPr>
                  <w:r>
                    <w:rPr>
                      <w:rFonts w:ascii="Calibri" w:eastAsia="Calibri" w:hAnsi="Calibri"/>
                      <w:sz w:val="22"/>
                      <w:szCs w:val="22"/>
                    </w:rPr>
                    <w:t>55</w:t>
                  </w:r>
                </w:p>
              </w:tc>
            </w:tr>
          </w:tbl>
          <w:p w:rsidR="003477A5" w:rsidRDefault="003477A5">
            <w:pPr>
              <w:pStyle w:val="ListParagraph"/>
            </w:pPr>
          </w:p>
          <w:p w:rsidR="003477A5" w:rsidRDefault="00A67CBF">
            <w:pPr>
              <w:pStyle w:val="ListParagraph"/>
            </w:pPr>
            <w:r>
              <w:rPr>
                <w:rFonts w:ascii="Helvetica" w:hAnsi="Helvetica" w:cs="Helvetica"/>
                <w:color w:val="333333"/>
                <w:sz w:val="21"/>
                <w:szCs w:val="21"/>
              </w:rPr>
              <w:t>On all key drivers, other than satisfaction with the value for money for the price of tickets,</w:t>
            </w:r>
            <w:r>
              <w:rPr>
                <w:rFonts w:ascii="Helvetica" w:hAnsi="Helvetica" w:cs="Helvetica"/>
                <w:b/>
                <w:color w:val="333333"/>
                <w:sz w:val="21"/>
                <w:szCs w:val="21"/>
              </w:rPr>
              <w:t xml:space="preserve"> </w:t>
            </w:r>
            <w:r>
              <w:rPr>
                <w:rFonts w:ascii="Helvetica" w:hAnsi="Helvetica" w:cs="Helvetica"/>
                <w:color w:val="333333"/>
                <w:sz w:val="21"/>
                <w:szCs w:val="21"/>
              </w:rPr>
              <w:t>passenger satisfaction with Great Western’s service has improved since 2013.  However,</w:t>
            </w:r>
            <w:r>
              <w:rPr>
                <w:rFonts w:ascii="Helvetica" w:hAnsi="Helvetica" w:cs="Helvetica"/>
                <w:b/>
                <w:color w:val="333333"/>
                <w:sz w:val="21"/>
                <w:szCs w:val="21"/>
              </w:rPr>
              <w:t xml:space="preserve"> it is noteworthy that GWR failed to out-perform any of the comparator operators on any of the passenger satisfaction parameters.</w:t>
            </w:r>
          </w:p>
          <w:p w:rsidR="003477A5" w:rsidRDefault="003477A5">
            <w:pPr>
              <w:pStyle w:val="ListParagraph"/>
            </w:pPr>
          </w:p>
          <w:p w:rsidR="003477A5" w:rsidRDefault="003477A5"/>
          <w:p w:rsidR="003477A5" w:rsidRDefault="003477A5">
            <w:pPr>
              <w:ind w:left="720"/>
            </w:pPr>
          </w:p>
        </w:tc>
      </w:tr>
    </w:tbl>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9. Are there any priorities which you would add or change, and why? </w:t>
      </w:r>
    </w:p>
    <w:p w:rsidR="003477A5" w:rsidRDefault="003477A5">
      <w:pPr>
        <w:rPr>
          <w:rFonts w:ascii="Helvetica" w:hAnsi="Helvetica" w:cs="Helvetica"/>
          <w:color w:val="333333"/>
          <w:sz w:val="21"/>
          <w:szCs w:val="21"/>
        </w:rPr>
      </w:pPr>
    </w:p>
    <w:tbl>
      <w:tblPr>
        <w:tblW w:w="5000" w:type="pct"/>
        <w:jc w:val="center"/>
        <w:tblCellMar>
          <w:left w:w="10" w:type="dxa"/>
          <w:right w:w="10" w:type="dxa"/>
        </w:tblCellMar>
        <w:tblLook w:val="0000" w:firstRow="0" w:lastRow="0" w:firstColumn="0" w:lastColumn="0" w:noHBand="0" w:noVBand="0"/>
      </w:tblPr>
      <w:tblGrid>
        <w:gridCol w:w="9010"/>
      </w:tblGrid>
      <w:tr w:rsidR="003477A5">
        <w:trPr>
          <w:trHeight w:val="2415"/>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3477A5">
            <w:pPr>
              <w:pStyle w:val="ListParagraph"/>
              <w:spacing w:after="240"/>
              <w:ind w:left="360"/>
            </w:pPr>
          </w:p>
          <w:p w:rsidR="003477A5" w:rsidRDefault="00A67CBF">
            <w:pPr>
              <w:pStyle w:val="ListParagraph"/>
              <w:numPr>
                <w:ilvl w:val="0"/>
                <w:numId w:val="3"/>
              </w:numPr>
              <w:spacing w:after="240"/>
            </w:pPr>
            <w:r>
              <w:rPr>
                <w:rFonts w:ascii="Helvetica" w:hAnsi="Helvetica" w:cs="Helvetica"/>
                <w:color w:val="333333"/>
                <w:sz w:val="21"/>
                <w:szCs w:val="21"/>
              </w:rPr>
              <w:t xml:space="preserve">Objective 1 should include </w:t>
            </w:r>
            <w:r>
              <w:rPr>
                <w:rFonts w:ascii="Helvetica" w:hAnsi="Helvetica" w:cs="Helvetica"/>
                <w:b/>
                <w:color w:val="333333"/>
                <w:sz w:val="21"/>
                <w:szCs w:val="21"/>
              </w:rPr>
              <w:t xml:space="preserve">provision of services </w:t>
            </w:r>
            <w:r>
              <w:rPr>
                <w:rFonts w:ascii="Helvetica" w:hAnsi="Helvetica" w:cs="Helvetica"/>
                <w:b/>
                <w:i/>
                <w:color w:val="333333"/>
                <w:sz w:val="21"/>
                <w:szCs w:val="21"/>
              </w:rPr>
              <w:t>of sufficient frequency</w:t>
            </w:r>
            <w:r>
              <w:rPr>
                <w:rFonts w:ascii="Helvetica" w:hAnsi="Helvetica" w:cs="Helvetica"/>
                <w:b/>
                <w:color w:val="333333"/>
                <w:sz w:val="21"/>
                <w:szCs w:val="21"/>
              </w:rPr>
              <w:t xml:space="preserve"> </w:t>
            </w:r>
            <w:r w:rsidR="00551192">
              <w:rPr>
                <w:rFonts w:ascii="Helvetica" w:hAnsi="Helvetica" w:cs="Helvetica"/>
                <w:b/>
                <w:color w:val="333333"/>
                <w:sz w:val="21"/>
                <w:szCs w:val="21"/>
              </w:rPr>
              <w:t xml:space="preserve">and capacity </w:t>
            </w:r>
            <w:r>
              <w:rPr>
                <w:rFonts w:ascii="Helvetica" w:hAnsi="Helvetica" w:cs="Helvetica"/>
                <w:b/>
                <w:i/>
                <w:color w:val="333333"/>
                <w:sz w:val="21"/>
                <w:szCs w:val="21"/>
              </w:rPr>
              <w:t>at times when people wish to travel</w:t>
            </w:r>
            <w:r>
              <w:rPr>
                <w:rFonts w:ascii="Helvetica" w:hAnsi="Helvetica" w:cs="Helvetica"/>
                <w:color w:val="333333"/>
                <w:sz w:val="21"/>
                <w:szCs w:val="21"/>
              </w:rPr>
              <w:t xml:space="preserve">. (See ranking in Transport Focus’s </w:t>
            </w:r>
            <w:r>
              <w:rPr>
                <w:rFonts w:ascii="Helvetica" w:hAnsi="Helvetica" w:cs="Helvetica"/>
                <w:i/>
                <w:color w:val="333333"/>
                <w:sz w:val="21"/>
                <w:szCs w:val="21"/>
              </w:rPr>
              <w:t xml:space="preserve">Rail Passengers’ Priorities for Improvement, 2017, </w:t>
            </w:r>
            <w:r>
              <w:rPr>
                <w:rFonts w:ascii="Helvetica" w:hAnsi="Helvetica" w:cs="Helvetica"/>
                <w:color w:val="333333"/>
                <w:sz w:val="21"/>
                <w:szCs w:val="21"/>
              </w:rPr>
              <w:t>https://www.transportfocus.org.uk/research-publications/publications/rail-passengers-priorities-for-improvement/.)</w:t>
            </w:r>
          </w:p>
          <w:p w:rsidR="003477A5" w:rsidRDefault="00A67CBF">
            <w:pPr>
              <w:pStyle w:val="ListParagraph"/>
              <w:numPr>
                <w:ilvl w:val="0"/>
                <w:numId w:val="3"/>
              </w:numPr>
              <w:spacing w:after="240"/>
            </w:pPr>
            <w:r>
              <w:rPr>
                <w:rFonts w:ascii="Helvetica" w:hAnsi="Helvetica" w:cs="Helvetica"/>
                <w:color w:val="333333"/>
                <w:sz w:val="21"/>
                <w:szCs w:val="21"/>
              </w:rPr>
              <w:t xml:space="preserve">Objective 2, concerning an excellent and improving customer experience for all passengers, should include reference it being </w:t>
            </w:r>
            <w:r>
              <w:rPr>
                <w:rFonts w:ascii="Helvetica" w:hAnsi="Helvetica" w:cs="Helvetica"/>
                <w:b/>
                <w:i/>
                <w:color w:val="333333"/>
                <w:sz w:val="21"/>
                <w:szCs w:val="21"/>
              </w:rPr>
              <w:t>demonstrated through a step change in measured levels of user satisfaction</w:t>
            </w:r>
            <w:r>
              <w:rPr>
                <w:rFonts w:ascii="Helvetica" w:hAnsi="Helvetica" w:cs="Helvetica"/>
                <w:color w:val="333333"/>
                <w:sz w:val="21"/>
                <w:szCs w:val="21"/>
              </w:rPr>
              <w:t>.</w:t>
            </w:r>
          </w:p>
          <w:p w:rsidR="003477A5" w:rsidRDefault="00A67CBF">
            <w:pPr>
              <w:pStyle w:val="ListParagraph"/>
              <w:numPr>
                <w:ilvl w:val="0"/>
                <w:numId w:val="3"/>
              </w:numPr>
              <w:spacing w:after="240"/>
            </w:pPr>
            <w:r>
              <w:rPr>
                <w:rFonts w:ascii="Helvetica" w:hAnsi="Helvetica" w:cs="Helvetica"/>
                <w:color w:val="333333"/>
                <w:sz w:val="21"/>
                <w:szCs w:val="21"/>
              </w:rPr>
              <w:t xml:space="preserve">Objective 3 should also include the need to </w:t>
            </w:r>
            <w:r>
              <w:rPr>
                <w:rFonts w:ascii="Helvetica" w:hAnsi="Helvetica" w:cs="Helvetica"/>
                <w:b/>
                <w:color w:val="333333"/>
                <w:sz w:val="21"/>
                <w:szCs w:val="21"/>
              </w:rPr>
              <w:t xml:space="preserve">maximise the benefits from investment </w:t>
            </w:r>
            <w:r>
              <w:rPr>
                <w:rFonts w:ascii="Helvetica" w:hAnsi="Helvetica" w:cs="Helvetica"/>
                <w:b/>
                <w:i/>
                <w:color w:val="333333"/>
                <w:sz w:val="21"/>
                <w:szCs w:val="21"/>
              </w:rPr>
              <w:t>for the wider community, thereby ensuring that rail realises its full potential to reduce road congestion and pollution, including particulate emissions from engine combustion</w:t>
            </w:r>
            <w:r>
              <w:rPr>
                <w:rFonts w:ascii="Helvetica" w:hAnsi="Helvetica" w:cs="Helvetica"/>
                <w:color w:val="333333"/>
                <w:sz w:val="21"/>
                <w:szCs w:val="21"/>
              </w:rPr>
              <w:t>.</w:t>
            </w:r>
          </w:p>
          <w:p w:rsidR="003477A5" w:rsidRDefault="00A67CBF">
            <w:pPr>
              <w:pStyle w:val="ListParagraph"/>
              <w:numPr>
                <w:ilvl w:val="0"/>
                <w:numId w:val="3"/>
              </w:numPr>
              <w:spacing w:after="240"/>
            </w:pPr>
            <w:r>
              <w:rPr>
                <w:rFonts w:ascii="Helvetica" w:hAnsi="Helvetica" w:cs="Helvetica"/>
                <w:color w:val="333333"/>
                <w:sz w:val="21"/>
                <w:szCs w:val="21"/>
              </w:rPr>
              <w:t xml:space="preserve">Objective 4 should qualify the term growth with the word </w:t>
            </w:r>
            <w:r>
              <w:rPr>
                <w:rFonts w:ascii="Helvetica" w:hAnsi="Helvetica" w:cs="Helvetica"/>
                <w:b/>
                <w:i/>
                <w:color w:val="333333"/>
                <w:sz w:val="21"/>
                <w:szCs w:val="21"/>
              </w:rPr>
              <w:t>sustainable</w:t>
            </w:r>
            <w:r>
              <w:rPr>
                <w:rFonts w:ascii="Helvetica" w:hAnsi="Helvetica" w:cs="Helvetica"/>
                <w:color w:val="333333"/>
                <w:sz w:val="21"/>
                <w:szCs w:val="21"/>
              </w:rPr>
              <w:t xml:space="preserve">, whilst clarifying a commitment to a balanced approach to development whereby </w:t>
            </w:r>
            <w:r>
              <w:rPr>
                <w:rFonts w:ascii="Helvetica" w:hAnsi="Helvetica" w:cs="Helvetica"/>
                <w:b/>
                <w:color w:val="333333"/>
                <w:sz w:val="21"/>
                <w:szCs w:val="21"/>
              </w:rPr>
              <w:t xml:space="preserve">planned growth in housing </w:t>
            </w:r>
            <w:r>
              <w:rPr>
                <w:rFonts w:ascii="Helvetica" w:hAnsi="Helvetica" w:cs="Helvetica"/>
                <w:b/>
                <w:i/>
                <w:color w:val="333333"/>
                <w:sz w:val="21"/>
                <w:szCs w:val="21"/>
              </w:rPr>
              <w:t>is complemented by growth in accessible employment opportunities and access to health, education and other essential service</w:t>
            </w:r>
            <w:r>
              <w:rPr>
                <w:rFonts w:ascii="Helvetica" w:hAnsi="Helvetica" w:cs="Helvetica"/>
                <w:color w:val="333333"/>
                <w:sz w:val="21"/>
                <w:szCs w:val="21"/>
              </w:rPr>
              <w:t xml:space="preserve">.  It should also make clear that the Government is aware of the dangers of silo thinking: </w:t>
            </w:r>
            <w:r>
              <w:rPr>
                <w:rFonts w:ascii="Helvetica" w:hAnsi="Helvetica" w:cs="Helvetica"/>
                <w:b/>
                <w:i/>
                <w:color w:val="333333"/>
                <w:sz w:val="21"/>
                <w:szCs w:val="21"/>
              </w:rPr>
              <w:t xml:space="preserve">rail </w:t>
            </w:r>
            <w:r w:rsidR="00875267">
              <w:rPr>
                <w:rFonts w:ascii="Helvetica" w:hAnsi="Helvetica" w:cs="Helvetica"/>
                <w:b/>
                <w:i/>
                <w:color w:val="333333"/>
                <w:sz w:val="21"/>
                <w:szCs w:val="21"/>
              </w:rPr>
              <w:t>has</w:t>
            </w:r>
            <w:r>
              <w:rPr>
                <w:rFonts w:ascii="Helvetica" w:hAnsi="Helvetica" w:cs="Helvetica"/>
                <w:b/>
                <w:i/>
                <w:color w:val="333333"/>
                <w:sz w:val="21"/>
                <w:szCs w:val="21"/>
              </w:rPr>
              <w:t xml:space="preserve"> a key </w:t>
            </w:r>
            <w:r w:rsidR="00875267">
              <w:rPr>
                <w:rFonts w:ascii="Helvetica" w:hAnsi="Helvetica" w:cs="Helvetica"/>
                <w:b/>
                <w:i/>
                <w:color w:val="333333"/>
                <w:sz w:val="21"/>
                <w:szCs w:val="21"/>
              </w:rPr>
              <w:t>role</w:t>
            </w:r>
            <w:r>
              <w:rPr>
                <w:rFonts w:ascii="Helvetica" w:hAnsi="Helvetica" w:cs="Helvetica"/>
                <w:b/>
                <w:i/>
                <w:color w:val="333333"/>
                <w:sz w:val="21"/>
                <w:szCs w:val="21"/>
              </w:rPr>
              <w:t xml:space="preserve"> in facilitating cross-modal transport connectivity as well as connectivity between different parts of the region, </w:t>
            </w:r>
            <w:r w:rsidR="00875267">
              <w:rPr>
                <w:rFonts w:ascii="Helvetica" w:hAnsi="Helvetica" w:cs="Helvetica"/>
                <w:b/>
                <w:i/>
                <w:color w:val="333333"/>
                <w:sz w:val="21"/>
                <w:szCs w:val="21"/>
              </w:rPr>
              <w:t>rail can provide</w:t>
            </w:r>
            <w:r>
              <w:rPr>
                <w:rFonts w:ascii="Helvetica" w:hAnsi="Helvetica" w:cs="Helvetica"/>
                <w:b/>
                <w:i/>
                <w:color w:val="333333"/>
                <w:sz w:val="21"/>
                <w:szCs w:val="21"/>
              </w:rPr>
              <w:t xml:space="preserve"> improved links between services serving different routes, </w:t>
            </w:r>
            <w:r w:rsidR="00875267">
              <w:rPr>
                <w:rFonts w:ascii="Helvetica" w:hAnsi="Helvetica" w:cs="Helvetica"/>
                <w:b/>
                <w:i/>
                <w:color w:val="333333"/>
                <w:sz w:val="21"/>
                <w:szCs w:val="21"/>
              </w:rPr>
              <w:t>including</w:t>
            </w:r>
            <w:r>
              <w:rPr>
                <w:rFonts w:ascii="Helvetica" w:hAnsi="Helvetica" w:cs="Helvetica"/>
                <w:b/>
                <w:i/>
                <w:color w:val="333333"/>
                <w:sz w:val="21"/>
                <w:szCs w:val="21"/>
              </w:rPr>
              <w:t xml:space="preserve"> those provided by other operators</w:t>
            </w:r>
            <w:r>
              <w:rPr>
                <w:rFonts w:ascii="Helvetica" w:hAnsi="Helvetica" w:cs="Helvetica"/>
                <w:color w:val="333333"/>
                <w:sz w:val="21"/>
                <w:szCs w:val="21"/>
              </w:rPr>
              <w:t>.</w:t>
            </w:r>
          </w:p>
          <w:p w:rsidR="003477A5" w:rsidRDefault="00A67CBF">
            <w:pPr>
              <w:pStyle w:val="ListParagraph"/>
              <w:numPr>
                <w:ilvl w:val="0"/>
                <w:numId w:val="3"/>
              </w:numPr>
              <w:spacing w:after="240"/>
            </w:pPr>
            <w:r>
              <w:rPr>
                <w:rFonts w:ascii="Helvetica" w:hAnsi="Helvetica" w:cs="Helvetica"/>
                <w:color w:val="333333"/>
                <w:sz w:val="21"/>
                <w:szCs w:val="21"/>
              </w:rPr>
              <w:t xml:space="preserve">Objective 5 might usefully be achieved, where appropriate, </w:t>
            </w:r>
            <w:r>
              <w:rPr>
                <w:rFonts w:ascii="Helvetica" w:hAnsi="Helvetica" w:cs="Helvetica"/>
                <w:b/>
                <w:i/>
                <w:color w:val="333333"/>
                <w:sz w:val="21"/>
                <w:szCs w:val="21"/>
              </w:rPr>
              <w:t>in collaboration with others across</w:t>
            </w:r>
            <w:r w:rsidR="00367FE7">
              <w:rPr>
                <w:rFonts w:ascii="Helvetica" w:hAnsi="Helvetica" w:cs="Helvetica"/>
                <w:b/>
                <w:i/>
                <w:color w:val="333333"/>
                <w:sz w:val="21"/>
                <w:szCs w:val="21"/>
              </w:rPr>
              <w:t>, and</w:t>
            </w:r>
            <w:r>
              <w:rPr>
                <w:rFonts w:ascii="Helvetica" w:hAnsi="Helvetica" w:cs="Helvetica"/>
                <w:b/>
                <w:i/>
                <w:color w:val="333333"/>
                <w:sz w:val="21"/>
                <w:szCs w:val="21"/>
              </w:rPr>
              <w:t xml:space="preserve"> with an interest in</w:t>
            </w:r>
            <w:r w:rsidR="00367FE7">
              <w:rPr>
                <w:rFonts w:ascii="Helvetica" w:hAnsi="Helvetica" w:cs="Helvetica"/>
                <w:b/>
                <w:i/>
                <w:color w:val="333333"/>
                <w:sz w:val="21"/>
                <w:szCs w:val="21"/>
              </w:rPr>
              <w:t>,</w:t>
            </w:r>
            <w:r>
              <w:rPr>
                <w:rFonts w:ascii="Helvetica" w:hAnsi="Helvetica" w:cs="Helvetica"/>
                <w:b/>
                <w:i/>
                <w:color w:val="333333"/>
                <w:sz w:val="21"/>
                <w:szCs w:val="21"/>
              </w:rPr>
              <w:t xml:space="preserve"> the transport sector</w:t>
            </w:r>
            <w:r>
              <w:rPr>
                <w:rFonts w:ascii="Helvetica" w:hAnsi="Helvetica" w:cs="Helvetica"/>
                <w:b/>
                <w:color w:val="333333"/>
                <w:sz w:val="21"/>
                <w:szCs w:val="21"/>
              </w:rPr>
              <w:t xml:space="preserve"> </w:t>
            </w:r>
            <w:r>
              <w:rPr>
                <w:rFonts w:ascii="Helvetica" w:hAnsi="Helvetica" w:cs="Helvetica"/>
                <w:color w:val="333333"/>
                <w:sz w:val="21"/>
                <w:szCs w:val="21"/>
              </w:rPr>
              <w:t>(possibly implicit in Objective 8 within the more limited context of rail alone).</w:t>
            </w:r>
          </w:p>
          <w:p w:rsidR="003477A5" w:rsidRDefault="00A67CBF">
            <w:pPr>
              <w:pStyle w:val="ListParagraph"/>
              <w:numPr>
                <w:ilvl w:val="0"/>
                <w:numId w:val="3"/>
              </w:numPr>
              <w:spacing w:after="240"/>
            </w:pPr>
            <w:r>
              <w:rPr>
                <w:rFonts w:ascii="Helvetica" w:hAnsi="Helvetica" w:cs="Helvetica"/>
                <w:color w:val="333333"/>
                <w:sz w:val="21"/>
                <w:szCs w:val="21"/>
              </w:rPr>
              <w:t xml:space="preserve">Objective 9 should not end with delivery but should also refer to the need to </w:t>
            </w:r>
            <w:r>
              <w:rPr>
                <w:rFonts w:ascii="Helvetica" w:hAnsi="Helvetica" w:cs="Helvetica"/>
                <w:b/>
                <w:i/>
                <w:color w:val="333333"/>
                <w:sz w:val="21"/>
                <w:szCs w:val="21"/>
              </w:rPr>
              <w:t xml:space="preserve">realise the full potential of the opportunities for improved network connectivity created by </w:t>
            </w:r>
            <w:r>
              <w:rPr>
                <w:rFonts w:ascii="Helvetica" w:hAnsi="Helvetica" w:cs="Helvetica"/>
                <w:b/>
                <w:color w:val="333333"/>
                <w:sz w:val="21"/>
                <w:szCs w:val="21"/>
              </w:rPr>
              <w:t>other major rail investment schemes</w:t>
            </w:r>
            <w:r>
              <w:rPr>
                <w:rFonts w:ascii="Helvetica" w:hAnsi="Helvetica" w:cs="Helvetica"/>
                <w:i/>
                <w:color w:val="333333"/>
                <w:sz w:val="21"/>
                <w:szCs w:val="21"/>
              </w:rPr>
              <w:t>.</w:t>
            </w:r>
          </w:p>
          <w:p w:rsidR="003477A5" w:rsidRDefault="00A67CBF">
            <w:pPr>
              <w:pStyle w:val="ListParagraph"/>
              <w:numPr>
                <w:ilvl w:val="0"/>
                <w:numId w:val="3"/>
              </w:numPr>
              <w:spacing w:after="240"/>
            </w:pPr>
            <w:r>
              <w:rPr>
                <w:rFonts w:ascii="Helvetica" w:hAnsi="Helvetica" w:cs="Helvetica"/>
                <w:color w:val="333333"/>
                <w:sz w:val="21"/>
                <w:szCs w:val="21"/>
              </w:rPr>
              <w:t xml:space="preserve">Objective 10 should have a rider added that refers not solely to releasing resources for further service improvements but acknowledges the need, where justified, to </w:t>
            </w:r>
            <w:r>
              <w:rPr>
                <w:rFonts w:ascii="Helvetica" w:hAnsi="Helvetica" w:cs="Helvetica"/>
                <w:b/>
                <w:color w:val="333333"/>
                <w:sz w:val="21"/>
                <w:szCs w:val="21"/>
              </w:rPr>
              <w:t>minimise cost barriers to greater passenger use of rail services.</w:t>
            </w:r>
          </w:p>
          <w:p w:rsidR="003477A5" w:rsidRDefault="00A67CBF">
            <w:pPr>
              <w:spacing w:after="240"/>
            </w:pPr>
            <w:r>
              <w:rPr>
                <w:rFonts w:ascii="Helvetica" w:hAnsi="Helvetica" w:cs="Helvetica"/>
                <w:color w:val="333333"/>
                <w:sz w:val="21"/>
                <w:szCs w:val="21"/>
              </w:rPr>
              <w:t xml:space="preserve">In </w:t>
            </w:r>
            <w:r>
              <w:rPr>
                <w:rFonts w:ascii="Helvetica" w:hAnsi="Helvetica" w:cs="Helvetica"/>
                <w:i/>
                <w:color w:val="333333"/>
                <w:sz w:val="21"/>
                <w:szCs w:val="21"/>
              </w:rPr>
              <w:t xml:space="preserve">Connecting the Dots </w:t>
            </w:r>
            <w:r>
              <w:rPr>
                <w:rFonts w:ascii="Helvetica" w:hAnsi="Helvetica" w:cs="Helvetica"/>
                <w:color w:val="333333"/>
                <w:sz w:val="21"/>
                <w:szCs w:val="21"/>
              </w:rPr>
              <w:t>TravelWatch SouthWest proposed three further priorities:</w:t>
            </w:r>
          </w:p>
          <w:p w:rsidR="003477A5" w:rsidRDefault="00A67CBF">
            <w:pPr>
              <w:pStyle w:val="ListParagraph"/>
              <w:numPr>
                <w:ilvl w:val="0"/>
                <w:numId w:val="4"/>
              </w:numPr>
              <w:spacing w:after="240"/>
            </w:pPr>
            <w:r>
              <w:rPr>
                <w:rFonts w:ascii="Helvetica" w:hAnsi="Helvetica" w:cs="Helvetica"/>
                <w:color w:val="333333"/>
                <w:sz w:val="21"/>
                <w:szCs w:val="21"/>
              </w:rPr>
              <w:t xml:space="preserve">The first additional Objective referred to the need to </w:t>
            </w:r>
            <w:r>
              <w:rPr>
                <w:rFonts w:ascii="Helvetica" w:hAnsi="Helvetica" w:cs="Helvetica"/>
                <w:b/>
                <w:color w:val="333333"/>
                <w:sz w:val="21"/>
                <w:szCs w:val="21"/>
              </w:rPr>
              <w:t xml:space="preserve">deliver planned investments </w:t>
            </w:r>
            <w:r>
              <w:rPr>
                <w:rFonts w:ascii="Helvetica" w:hAnsi="Helvetica" w:cs="Helvetica"/>
                <w:b/>
                <w:i/>
                <w:color w:val="333333"/>
                <w:sz w:val="21"/>
                <w:szCs w:val="21"/>
              </w:rPr>
              <w:t>whilst minimising disruption to passengers</w:t>
            </w:r>
            <w:r>
              <w:rPr>
                <w:rFonts w:ascii="Helvetica" w:hAnsi="Helvetica" w:cs="Helvetica"/>
                <w:color w:val="333333"/>
                <w:sz w:val="21"/>
                <w:szCs w:val="21"/>
              </w:rPr>
              <w:t xml:space="preserve">.  This sentiment scored highly in Transport Focus’s </w:t>
            </w:r>
            <w:r>
              <w:rPr>
                <w:rFonts w:ascii="Helvetica" w:hAnsi="Helvetica" w:cs="Helvetica"/>
                <w:i/>
                <w:color w:val="333333"/>
                <w:sz w:val="21"/>
                <w:szCs w:val="21"/>
              </w:rPr>
              <w:t xml:space="preserve">Rail Passenger Priorities for Improvement, 2017. </w:t>
            </w:r>
            <w:r>
              <w:rPr>
                <w:rFonts w:ascii="Helvetica" w:hAnsi="Helvetica" w:cs="Helvetica"/>
                <w:color w:val="333333"/>
                <w:sz w:val="21"/>
                <w:szCs w:val="21"/>
              </w:rPr>
              <w:t>Successful delivery depends not just on providing replacement services, such as buses to replace trains, but on focusing on how passenger disruption can be minimised as painlessly as possible for passengers (e.g. ensuring the use of diversionary routes wherever possible).</w:t>
            </w:r>
          </w:p>
          <w:p w:rsidR="003477A5" w:rsidRDefault="00A67CBF">
            <w:pPr>
              <w:pStyle w:val="ListParagraph"/>
              <w:numPr>
                <w:ilvl w:val="0"/>
                <w:numId w:val="4"/>
              </w:numPr>
              <w:spacing w:after="240"/>
            </w:pPr>
            <w:r>
              <w:rPr>
                <w:rFonts w:ascii="Helvetica" w:hAnsi="Helvetica" w:cs="Helvetica"/>
                <w:color w:val="333333"/>
                <w:sz w:val="21"/>
                <w:szCs w:val="21"/>
              </w:rPr>
              <w:t xml:space="preserve">The second additional Objective made the case for </w:t>
            </w:r>
            <w:r>
              <w:rPr>
                <w:rFonts w:ascii="Helvetica" w:hAnsi="Helvetica" w:cs="Helvetica"/>
                <w:b/>
                <w:i/>
                <w:color w:val="333333"/>
                <w:sz w:val="21"/>
                <w:szCs w:val="21"/>
              </w:rPr>
              <w:t xml:space="preserve">franchising arrangements [to be] of sufficiently long duration to encourage investment, but with provision for mid-term reviews, to secure benefits from collaborative working practices and partnering both within the sector and with interested stakeholders and other investors…principally to provide an attractive framework for third party engagement and investment, facilitating delivery of the Hansford recommendations and integrated with the planning of Network Rail’s control periods.  </w:t>
            </w:r>
            <w:r>
              <w:rPr>
                <w:rFonts w:ascii="Helvetica" w:hAnsi="Helvetica" w:cs="Helvetica"/>
                <w:color w:val="333333"/>
                <w:sz w:val="21"/>
                <w:szCs w:val="21"/>
              </w:rPr>
              <w:t>We think that there is a strong case for ensuring that any new franchise arrangements make provision of this sort.  The last completed franchise competition for Great Western was launched in 2005 and the present arrangements may now run to 2024.  The original franchise was subsequently extended – for good reasons - by direct awards.  However, these had the effect of foregoing the opportunity that would otherwise have existed to test the market and encourage innovative thinking in the context of a franchise contest. It has also meant that benefits adopted as the result of franchise competitions elsewhere have not been adopted within this franchise area – for example, delay/repay. The lack of a consistent approach nationally to service quality standards is almost certainly a passenger concern that contributes to public antipathy towards the current franchising model.  Future arrangements need to accommodate both the benefits arising from of a competitive franchising process with those of a long-term planning horizon.</w:t>
            </w:r>
          </w:p>
          <w:p w:rsidR="003477A5" w:rsidRDefault="00A67CBF">
            <w:pPr>
              <w:pStyle w:val="ListParagraph"/>
              <w:numPr>
                <w:ilvl w:val="0"/>
                <w:numId w:val="4"/>
              </w:numPr>
              <w:spacing w:after="240"/>
            </w:pPr>
            <w:r>
              <w:rPr>
                <w:rFonts w:ascii="Helvetica" w:hAnsi="Helvetica" w:cs="Helvetica"/>
                <w:color w:val="333333"/>
                <w:sz w:val="21"/>
                <w:szCs w:val="21"/>
              </w:rPr>
              <w:t xml:space="preserve">The third additional Objective is delivery of </w:t>
            </w:r>
            <w:r>
              <w:rPr>
                <w:rFonts w:ascii="Helvetica" w:hAnsi="Helvetica" w:cs="Helvetica"/>
                <w:b/>
                <w:color w:val="333333"/>
                <w:sz w:val="21"/>
                <w:szCs w:val="21"/>
              </w:rPr>
              <w:t xml:space="preserve">consistent wireless mobile connectivity </w:t>
            </w:r>
            <w:r>
              <w:rPr>
                <w:rFonts w:ascii="Helvetica" w:hAnsi="Helvetica" w:cs="Helvetica"/>
                <w:color w:val="333333"/>
                <w:sz w:val="21"/>
                <w:szCs w:val="21"/>
              </w:rPr>
              <w:t>with speeds of at least 1 Gbps throughout the franchise area. It would be ironic if the rail services serving the area that is home to some of the world’s leading 5G players were to remain laggard rather than an exemplar of the Government’s 5G strategy.  The attached map s a reminder of present connectivity short-comings:</w:t>
            </w:r>
          </w:p>
          <w:p w:rsidR="003477A5" w:rsidRDefault="00A67CBF">
            <w:pPr>
              <w:pStyle w:val="ListParagraph"/>
              <w:spacing w:after="240"/>
              <w:ind w:left="360"/>
            </w:pPr>
            <w:r>
              <w:rPr>
                <w:noProof/>
              </w:rPr>
              <w:drawing>
                <wp:inline distT="0" distB="0" distL="0" distR="0">
                  <wp:extent cx="5487030" cy="3774981"/>
                  <wp:effectExtent l="0" t="0" r="0" b="0"/>
                  <wp:docPr id="2"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5487030" cy="3774981"/>
                          </a:xfrm>
                          <a:prstGeom prst="rect">
                            <a:avLst/>
                          </a:prstGeom>
                          <a:noFill/>
                          <a:ln>
                            <a:noFill/>
                            <a:prstDash/>
                          </a:ln>
                        </pic:spPr>
                      </pic:pic>
                    </a:graphicData>
                  </a:graphic>
                </wp:inline>
              </w:drawing>
            </w:r>
          </w:p>
          <w:p w:rsidR="003477A5" w:rsidRDefault="003477A5">
            <w:pPr>
              <w:pStyle w:val="ListParagraph"/>
              <w:spacing w:after="240"/>
              <w:ind w:left="360"/>
              <w:rPr>
                <w:rFonts w:ascii="Helvetica" w:hAnsi="Helvetica" w:cs="Helvetica"/>
                <w:color w:val="333333"/>
                <w:sz w:val="21"/>
                <w:szCs w:val="21"/>
              </w:rPr>
            </w:pPr>
          </w:p>
          <w:p w:rsidR="003477A5" w:rsidRDefault="00A67CBF">
            <w:pPr>
              <w:pStyle w:val="ListParagraph"/>
              <w:spacing w:after="240"/>
              <w:ind w:left="360"/>
              <w:rPr>
                <w:rFonts w:ascii="Helvetica" w:hAnsi="Helvetica" w:cs="Helvetica"/>
                <w:color w:val="333333"/>
                <w:sz w:val="21"/>
                <w:szCs w:val="21"/>
              </w:rPr>
            </w:pPr>
            <w:r>
              <w:rPr>
                <w:rFonts w:ascii="Helvetica" w:hAnsi="Helvetica" w:cs="Helvetica"/>
                <w:color w:val="333333"/>
                <w:sz w:val="21"/>
                <w:szCs w:val="21"/>
              </w:rPr>
              <w:t>TravelWatch SouthWest’s consultations within the franchise area have high-lighted two further concerns, neither new to the DfT but each with particular resonance in the south west:</w:t>
            </w:r>
          </w:p>
          <w:p w:rsidR="003477A5" w:rsidRDefault="00A67CBF">
            <w:pPr>
              <w:pStyle w:val="ListParagraph"/>
              <w:numPr>
                <w:ilvl w:val="0"/>
                <w:numId w:val="5"/>
              </w:numPr>
              <w:spacing w:after="240"/>
            </w:pPr>
            <w:r>
              <w:rPr>
                <w:rFonts w:ascii="Helvetica" w:hAnsi="Helvetica" w:cs="Helvetica"/>
                <w:color w:val="333333"/>
                <w:sz w:val="21"/>
                <w:szCs w:val="21"/>
              </w:rPr>
              <w:t xml:space="preserve">Large areas of the south west have suffered, year after year, from disruption caused by extreme weather conditions, most dramatically in 2014 when the line was severed for more than two months following the collapse both of the sea wall and a section of cliff between Dawlish and Teignmouth, but also when floods and landslides have affected disparate parts of the Great Western network from the Thames Valley to the Somerset Levels, from the Cotswolds to north Devon.  </w:t>
            </w:r>
            <w:r>
              <w:rPr>
                <w:rFonts w:ascii="Helvetica" w:hAnsi="Helvetica" w:cs="Helvetica"/>
                <w:b/>
                <w:color w:val="333333"/>
                <w:sz w:val="21"/>
                <w:szCs w:val="21"/>
              </w:rPr>
              <w:t xml:space="preserve">The resilience of the network is a matter of priority.  </w:t>
            </w:r>
            <w:r>
              <w:rPr>
                <w:rFonts w:ascii="Helvetica" w:hAnsi="Helvetica" w:cs="Helvetica"/>
                <w:color w:val="333333"/>
                <w:sz w:val="21"/>
                <w:szCs w:val="21"/>
              </w:rPr>
              <w:t>The network’s current lack of resilience is not only apparent when affected by natural events; lack of diversionary routes and route knowledge are evident constraint in working around engineering possessions.</w:t>
            </w:r>
          </w:p>
          <w:p w:rsidR="003477A5" w:rsidRDefault="00A67CBF">
            <w:pPr>
              <w:pStyle w:val="ListParagraph"/>
              <w:numPr>
                <w:ilvl w:val="0"/>
                <w:numId w:val="5"/>
              </w:numPr>
              <w:spacing w:after="240"/>
            </w:pPr>
            <w:r>
              <w:rPr>
                <w:rFonts w:ascii="Helvetica" w:hAnsi="Helvetica" w:cs="Helvetica"/>
                <w:color w:val="333333"/>
                <w:sz w:val="21"/>
                <w:szCs w:val="21"/>
              </w:rPr>
              <w:t>There is another priority</w:t>
            </w:r>
            <w:r>
              <w:rPr>
                <w:rFonts w:ascii="Helvetica" w:hAnsi="Helvetica" w:cs="Helvetica"/>
                <w:b/>
                <w:color w:val="333333"/>
                <w:sz w:val="21"/>
                <w:szCs w:val="21"/>
              </w:rPr>
              <w:t xml:space="preserve"> </w:t>
            </w:r>
            <w:r>
              <w:rPr>
                <w:rFonts w:ascii="Helvetica" w:hAnsi="Helvetica" w:cs="Helvetica"/>
                <w:color w:val="333333"/>
                <w:sz w:val="21"/>
                <w:szCs w:val="21"/>
              </w:rPr>
              <w:t>which many see as having a link to extreme weather events: there is an</w:t>
            </w:r>
            <w:r>
              <w:rPr>
                <w:rFonts w:ascii="Helvetica" w:hAnsi="Helvetica" w:cs="Helvetica"/>
                <w:b/>
                <w:color w:val="333333"/>
                <w:sz w:val="21"/>
                <w:szCs w:val="21"/>
              </w:rPr>
              <w:t xml:space="preserve"> urgent need to ameliorate the bad air quality of the south west’s congested urban areas</w:t>
            </w:r>
            <w:r>
              <w:rPr>
                <w:rFonts w:ascii="Helvetica" w:hAnsi="Helvetica" w:cs="Helvetica"/>
                <w:color w:val="333333"/>
                <w:sz w:val="21"/>
                <w:szCs w:val="21"/>
              </w:rPr>
              <w:t xml:space="preserve"> where thousands of premature deaths each year may be attributable to pollution caused by vehicle-emissions.  The City of Bristol’s expert advisors estimate that NO2 and particulate pollution together account for 300 premature deaths annually (compared to an average of nine people who die in road traffic collisions).  The environmental challenge of road traffic is compounded by the fact that the franchise area contains the urban settlements which suffer more than anywhere else in terms of average delay on locally managed ‘A’ roads.  In Bristol, rail travel accounts for just 2.1% of commuting in while Exeter, with the UK’s busiest city to navigate in peak hours, drivers spend one quarter of their time in congestion with an average speed of 4.6mph.  The problems of air quality are exacerbated by the use of diesel haulage for rail in the south west and magnified by the tendency of routes to cling to river valleys. </w:t>
            </w:r>
          </w:p>
        </w:tc>
      </w:tr>
    </w:tbl>
    <w:p w:rsidR="003477A5" w:rsidRDefault="00A67CBF">
      <w:pPr>
        <w:rPr>
          <w:rFonts w:ascii="Helvetica" w:hAnsi="Helvetica" w:cs="Helvetica"/>
          <w:b/>
          <w:bCs/>
          <w:color w:val="333333"/>
          <w:sz w:val="36"/>
          <w:szCs w:val="36"/>
        </w:rPr>
      </w:pPr>
      <w:r>
        <w:rPr>
          <w:rFonts w:ascii="Helvetica" w:hAnsi="Helvetica" w:cs="Helvetica"/>
          <w:b/>
          <w:bCs/>
          <w:color w:val="333333"/>
          <w:sz w:val="36"/>
          <w:szCs w:val="36"/>
        </w:rPr>
        <w:t xml:space="preserve">6. Splitting the franchise </w:t>
      </w:r>
    </w:p>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rPr>
          <w:rFonts w:ascii="Helvetica" w:hAnsi="Helvetica" w:cs="Helvetica"/>
          <w:bCs/>
          <w:color w:val="333333"/>
          <w:sz w:val="21"/>
          <w:szCs w:val="21"/>
        </w:rPr>
      </w:pPr>
      <w:r>
        <w:rPr>
          <w:rFonts w:ascii="Helvetica" w:hAnsi="Helvetica" w:cs="Helvetica"/>
          <w:bCs/>
          <w:color w:val="333333"/>
          <w:sz w:val="21"/>
          <w:szCs w:val="21"/>
        </w:rPr>
        <w:t xml:space="preserve">The map illustrates one possible option for a two-way split of the current Great Western franchise, comprising: </w:t>
      </w:r>
    </w:p>
    <w:tbl>
      <w:tblPr>
        <w:tblW w:w="9026" w:type="dxa"/>
        <w:tblCellMar>
          <w:left w:w="10" w:type="dxa"/>
          <w:right w:w="10" w:type="dxa"/>
        </w:tblCellMar>
        <w:tblLook w:val="0000" w:firstRow="0" w:lastRow="0" w:firstColumn="0" w:lastColumn="0" w:noHBand="0" w:noVBand="0"/>
      </w:tblPr>
      <w:tblGrid>
        <w:gridCol w:w="9026"/>
      </w:tblGrid>
      <w:tr w:rsidR="003477A5">
        <w:tc>
          <w:tcPr>
            <w:tcW w:w="9026" w:type="dxa"/>
            <w:shd w:val="clear" w:color="auto" w:fill="auto"/>
            <w:tcMar>
              <w:top w:w="0" w:type="dxa"/>
              <w:left w:w="0" w:type="dxa"/>
              <w:bottom w:w="0" w:type="dxa"/>
              <w:right w:w="0" w:type="dxa"/>
            </w:tcMar>
          </w:tcPr>
          <w:p w:rsidR="003477A5" w:rsidRDefault="00A67CBF">
            <w:pPr>
              <w:pStyle w:val="ListParagraph"/>
              <w:numPr>
                <w:ilvl w:val="0"/>
                <w:numId w:val="6"/>
              </w:numPr>
              <w:spacing w:before="300" w:after="300"/>
              <w:rPr>
                <w:rFonts w:ascii="Helvetica" w:hAnsi="Helvetica" w:cs="Helvetica"/>
                <w:color w:val="333333"/>
                <w:sz w:val="21"/>
                <w:szCs w:val="21"/>
              </w:rPr>
            </w:pPr>
            <w:r>
              <w:rPr>
                <w:rFonts w:ascii="Helvetica" w:hAnsi="Helvetica" w:cs="Helvetica"/>
                <w:color w:val="333333"/>
                <w:sz w:val="21"/>
                <w:szCs w:val="21"/>
              </w:rPr>
              <w:t>one franchise, coloured blue on the map below, concentrating on the intercity markets between London and Bristol, South Wales and the Cotswolds, outer suburban and branch line services in the Thames Valley, airport services and potentially future services using the proposed western rail link to Heathrow.</w:t>
            </w:r>
          </w:p>
        </w:tc>
      </w:tr>
    </w:tbl>
    <w:p w:rsidR="003477A5" w:rsidRDefault="003477A5">
      <w:pPr>
        <w:rPr>
          <w:rFonts w:ascii="Helvetica" w:hAnsi="Helvetica" w:cs="Helvetica"/>
          <w:b/>
          <w:bCs/>
          <w:vanish/>
          <w:color w:val="333333"/>
          <w:sz w:val="21"/>
          <w:szCs w:val="21"/>
        </w:rPr>
      </w:pPr>
    </w:p>
    <w:tbl>
      <w:tblPr>
        <w:tblW w:w="9026" w:type="dxa"/>
        <w:tblCellMar>
          <w:left w:w="10" w:type="dxa"/>
          <w:right w:w="10" w:type="dxa"/>
        </w:tblCellMar>
        <w:tblLook w:val="0000" w:firstRow="0" w:lastRow="0" w:firstColumn="0" w:lastColumn="0" w:noHBand="0" w:noVBand="0"/>
      </w:tblPr>
      <w:tblGrid>
        <w:gridCol w:w="9026"/>
      </w:tblGrid>
      <w:tr w:rsidR="003477A5">
        <w:tc>
          <w:tcPr>
            <w:tcW w:w="9026" w:type="dxa"/>
            <w:shd w:val="clear" w:color="auto" w:fill="auto"/>
            <w:tcMar>
              <w:top w:w="0" w:type="dxa"/>
              <w:left w:w="0" w:type="dxa"/>
              <w:bottom w:w="0" w:type="dxa"/>
              <w:right w:w="0" w:type="dxa"/>
            </w:tcMar>
          </w:tcPr>
          <w:p w:rsidR="003477A5" w:rsidRDefault="00A67CBF">
            <w:pPr>
              <w:pStyle w:val="ListParagraph"/>
              <w:numPr>
                <w:ilvl w:val="0"/>
                <w:numId w:val="6"/>
              </w:numPr>
              <w:spacing w:before="300" w:after="300"/>
              <w:rPr>
                <w:rFonts w:ascii="Helvetica" w:hAnsi="Helvetica" w:cs="Helvetica"/>
                <w:color w:val="333333"/>
                <w:sz w:val="21"/>
                <w:szCs w:val="21"/>
              </w:rPr>
            </w:pPr>
            <w:r>
              <w:rPr>
                <w:rFonts w:ascii="Helvetica" w:hAnsi="Helvetica" w:cs="Helvetica"/>
                <w:color w:val="333333"/>
                <w:sz w:val="21"/>
                <w:szCs w:val="21"/>
              </w:rPr>
              <w:t>another franchise, coloured red on the map below, providing long-distance services between London, Somerset, Devon and Cornwall (including the Sleeper), together with regional and local services across the central and south-western parts of the franchise area, including potential future services to Portishead and other elements of the 'MetroWest' scheme. This could include the services between Paddington, Newbury and Bedwyn, as although they may be a good fit with other Thames Valley services, there could be potential for the Newbury and Bedwyn services to be integrated within the longer-distance intercity services that operate along the same route. </w:t>
            </w:r>
          </w:p>
        </w:tc>
      </w:tr>
    </w:tbl>
    <w:p w:rsidR="003477A5" w:rsidRDefault="00A67CBF">
      <w:r>
        <w:rPr>
          <w:rFonts w:ascii="Helvetica" w:hAnsi="Helvetica" w:cs="Helvetica"/>
          <w:b/>
          <w:bCs/>
          <w:color w:val="333333"/>
          <w:sz w:val="21"/>
          <w:szCs w:val="21"/>
        </w:rPr>
        <w:br/>
      </w:r>
      <w:r>
        <w:rPr>
          <w:rFonts w:ascii="Helvetica" w:hAnsi="Helvetica" w:cs="Helvetica"/>
          <w:b/>
          <w:bCs/>
          <w:noProof/>
          <w:color w:val="333333"/>
          <w:sz w:val="21"/>
          <w:szCs w:val="21"/>
        </w:rPr>
        <w:drawing>
          <wp:inline distT="0" distB="0" distL="0" distR="0">
            <wp:extent cx="4938162" cy="5241057"/>
            <wp:effectExtent l="0" t="0" r="0" b="0"/>
            <wp:docPr id="3" name="Picture 15" descr="Map of the suggested split of the Great Western franchis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link="rId10"/>
                    <a:srcRect/>
                    <a:stretch>
                      <a:fillRect/>
                    </a:stretch>
                  </pic:blipFill>
                  <pic:spPr>
                    <a:xfrm>
                      <a:off x="0" y="0"/>
                      <a:ext cx="4938162" cy="5241057"/>
                    </a:xfrm>
                    <a:prstGeom prst="rect">
                      <a:avLst/>
                    </a:prstGeom>
                    <a:noFill/>
                    <a:ln>
                      <a:noFill/>
                      <a:prstDash/>
                    </a:ln>
                  </pic:spPr>
                </pic:pic>
              </a:graphicData>
            </a:graphic>
          </wp:inline>
        </w:drawing>
      </w:r>
      <w:r>
        <w:rPr>
          <w:rFonts w:ascii="Helvetica" w:hAnsi="Helvetica" w:cs="Helvetica"/>
          <w:b/>
          <w:bCs/>
          <w:color w:val="333333"/>
          <w:sz w:val="21"/>
          <w:szCs w:val="21"/>
        </w:rPr>
        <w:br/>
      </w:r>
      <w:r>
        <w:rPr>
          <w:rFonts w:ascii="Helvetica" w:hAnsi="Helvetica" w:cs="Helvetica"/>
          <w:b/>
          <w:bCs/>
          <w:color w:val="333333"/>
          <w:sz w:val="21"/>
          <w:szCs w:val="21"/>
        </w:rPr>
        <w:br/>
      </w:r>
      <w:r>
        <w:rPr>
          <w:rFonts w:ascii="Helvetica" w:hAnsi="Helvetica" w:cs="Helvetica"/>
          <w:bCs/>
          <w:color w:val="333333"/>
          <w:sz w:val="21"/>
          <w:szCs w:val="21"/>
        </w:rPr>
        <w:t>The text in paragraphs 3.2 - 3.6 of the main consultation document outlines the advantages and disadvantages of either splitting the franchise or retaining it as a single franchise.</w:t>
      </w:r>
      <w:r>
        <w:rPr>
          <w:rFonts w:ascii="Helvetica" w:hAnsi="Helvetica" w:cs="Helvetica"/>
          <w:b/>
          <w:bCs/>
          <w:color w:val="333333"/>
          <w:sz w:val="21"/>
          <w:szCs w:val="21"/>
        </w:rPr>
        <w:br/>
        <w:t> </w:t>
      </w:r>
    </w:p>
    <w:p w:rsidR="003477A5" w:rsidRDefault="003477A5">
      <w:pPr>
        <w:rPr>
          <w:rFonts w:ascii="Helvetica" w:hAnsi="Helvetica" w:cs="Helvetica"/>
          <w:color w:val="333333"/>
          <w:sz w:val="21"/>
          <w:szCs w:val="21"/>
        </w:rPr>
      </w:pP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10. Do you agree or disagree with the proposals for splitting the Great Western franchise into smaller franchises? </w:t>
      </w:r>
    </w:p>
    <w:p w:rsidR="003477A5" w:rsidRDefault="003477A5">
      <w:pPr>
        <w:rPr>
          <w:rFonts w:ascii="Helvetica" w:hAnsi="Helvetica" w:cs="Helvetica"/>
          <w:color w:val="333333"/>
          <w:sz w:val="21"/>
          <w:szCs w:val="21"/>
        </w:rPr>
      </w:pPr>
    </w:p>
    <w:tbl>
      <w:tblPr>
        <w:tblW w:w="1431" w:type="dxa"/>
        <w:tblCellMar>
          <w:left w:w="10" w:type="dxa"/>
          <w:right w:w="10" w:type="dxa"/>
        </w:tblCellMar>
        <w:tblLook w:val="0000" w:firstRow="0" w:lastRow="0" w:firstColumn="0" w:lastColumn="0" w:noHBand="0" w:noVBand="0"/>
      </w:tblPr>
      <w:tblGrid>
        <w:gridCol w:w="426"/>
        <w:gridCol w:w="1005"/>
      </w:tblGrid>
      <w:tr w:rsidR="003477A5">
        <w:tc>
          <w:tcPr>
            <w:tcW w:w="426" w:type="dxa"/>
            <w:shd w:val="clear" w:color="auto" w:fill="auto"/>
            <w:tcMar>
              <w:top w:w="0" w:type="dxa"/>
              <w:left w:w="0" w:type="dxa"/>
              <w:bottom w:w="0" w:type="dxa"/>
              <w:right w:w="0" w:type="dxa"/>
            </w:tcMar>
          </w:tcPr>
          <w:p w:rsidR="003477A5" w:rsidRDefault="00A67CBF">
            <w:r>
              <w:rPr>
                <w:rFonts w:ascii="Helvetica" w:hAnsi="Helvetica" w:cs="Helvetica"/>
                <w:color w:val="333333"/>
                <w:sz w:val="21"/>
                <w:szCs w:val="21"/>
              </w:rPr>
              <w:t>  </w:t>
            </w:r>
          </w:p>
        </w:tc>
        <w:tc>
          <w:tcPr>
            <w:tcW w:w="1005" w:type="dxa"/>
            <w:shd w:val="clear" w:color="auto" w:fill="auto"/>
            <w:tcMar>
              <w:top w:w="0" w:type="dxa"/>
              <w:left w:w="0" w:type="dxa"/>
              <w:bottom w:w="0" w:type="dxa"/>
              <w:right w:w="0" w:type="dxa"/>
            </w:tcMar>
            <w:vAlign w:val="center"/>
          </w:tcPr>
          <w:p w:rsidR="003477A5" w:rsidRDefault="00A67CBF">
            <w:pPr>
              <w:rPr>
                <w:rFonts w:ascii="Helvetica" w:hAnsi="Helvetica" w:cs="Helvetica"/>
                <w:color w:val="333333"/>
                <w:sz w:val="21"/>
                <w:szCs w:val="21"/>
              </w:rPr>
            </w:pPr>
            <w:r>
              <w:rPr>
                <w:rFonts w:ascii="Helvetica" w:hAnsi="Helvetica" w:cs="Helvetica"/>
                <w:color w:val="333333"/>
                <w:sz w:val="21"/>
                <w:szCs w:val="21"/>
              </w:rPr>
              <w:t>Agree</w:t>
            </w:r>
          </w:p>
        </w:tc>
      </w:tr>
      <w:tr w:rsidR="003477A5">
        <w:tc>
          <w:tcPr>
            <w:tcW w:w="426" w:type="dxa"/>
            <w:shd w:val="clear" w:color="auto" w:fill="auto"/>
            <w:tcMar>
              <w:top w:w="0" w:type="dxa"/>
              <w:left w:w="0" w:type="dxa"/>
              <w:bottom w:w="0" w:type="dxa"/>
              <w:right w:w="0" w:type="dxa"/>
            </w:tcMar>
          </w:tcPr>
          <w:p w:rsidR="003477A5" w:rsidRDefault="00A67CBF">
            <w:r>
              <w:rPr>
                <w:rFonts w:ascii="Helvetica" w:hAnsi="Helvetica" w:cs="Helvetica"/>
                <w:color w:val="333333"/>
                <w:sz w:val="21"/>
                <w:szCs w:val="21"/>
              </w:rPr>
              <w:t>X  </w:t>
            </w:r>
          </w:p>
        </w:tc>
        <w:tc>
          <w:tcPr>
            <w:tcW w:w="1005" w:type="dxa"/>
            <w:shd w:val="clear" w:color="auto" w:fill="auto"/>
            <w:tcMar>
              <w:top w:w="0" w:type="dxa"/>
              <w:left w:w="0" w:type="dxa"/>
              <w:bottom w:w="0" w:type="dxa"/>
              <w:right w:w="0" w:type="dxa"/>
            </w:tcMar>
            <w:vAlign w:val="center"/>
          </w:tcPr>
          <w:p w:rsidR="003477A5" w:rsidRDefault="00A67CBF">
            <w:pPr>
              <w:rPr>
                <w:rFonts w:ascii="Helvetica" w:hAnsi="Helvetica" w:cs="Helvetica"/>
                <w:color w:val="333333"/>
                <w:sz w:val="21"/>
                <w:szCs w:val="21"/>
              </w:rPr>
            </w:pPr>
            <w:r>
              <w:rPr>
                <w:rFonts w:ascii="Helvetica" w:hAnsi="Helvetica" w:cs="Helvetica"/>
                <w:color w:val="333333"/>
                <w:sz w:val="21"/>
                <w:szCs w:val="21"/>
              </w:rPr>
              <w:t>Disagree</w:t>
            </w:r>
          </w:p>
        </w:tc>
      </w:tr>
      <w:tr w:rsidR="003477A5">
        <w:tc>
          <w:tcPr>
            <w:tcW w:w="426" w:type="dxa"/>
            <w:shd w:val="clear" w:color="auto" w:fill="auto"/>
            <w:tcMar>
              <w:top w:w="0" w:type="dxa"/>
              <w:left w:w="0" w:type="dxa"/>
              <w:bottom w:w="0" w:type="dxa"/>
              <w:right w:w="0" w:type="dxa"/>
            </w:tcMar>
          </w:tcPr>
          <w:p w:rsidR="003477A5" w:rsidRDefault="00A67CBF">
            <w:r>
              <w:rPr>
                <w:rFonts w:ascii="Helvetica" w:hAnsi="Helvetica" w:cs="Helvetica"/>
                <w:color w:val="333333"/>
                <w:sz w:val="21"/>
                <w:szCs w:val="21"/>
              </w:rPr>
              <w:t>  </w:t>
            </w:r>
          </w:p>
        </w:tc>
        <w:tc>
          <w:tcPr>
            <w:tcW w:w="1005" w:type="dxa"/>
            <w:shd w:val="clear" w:color="auto" w:fill="auto"/>
            <w:tcMar>
              <w:top w:w="0" w:type="dxa"/>
              <w:left w:w="0" w:type="dxa"/>
              <w:bottom w:w="0" w:type="dxa"/>
              <w:right w:w="0" w:type="dxa"/>
            </w:tcMar>
            <w:vAlign w:val="center"/>
          </w:tcPr>
          <w:p w:rsidR="003477A5" w:rsidRDefault="00A67CBF">
            <w:pPr>
              <w:rPr>
                <w:rFonts w:ascii="Helvetica" w:hAnsi="Helvetica" w:cs="Helvetica"/>
                <w:color w:val="333333"/>
                <w:sz w:val="21"/>
                <w:szCs w:val="21"/>
              </w:rPr>
            </w:pPr>
            <w:r>
              <w:rPr>
                <w:rFonts w:ascii="Helvetica" w:hAnsi="Helvetica" w:cs="Helvetica"/>
                <w:color w:val="333333"/>
                <w:sz w:val="21"/>
                <w:szCs w:val="21"/>
              </w:rPr>
              <w:t>No opinion</w:t>
            </w:r>
          </w:p>
        </w:tc>
      </w:tr>
    </w:tbl>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11. Why? </w:t>
      </w:r>
    </w:p>
    <w:p w:rsidR="003477A5" w:rsidRDefault="003477A5">
      <w:pPr>
        <w:rPr>
          <w:rFonts w:ascii="Helvetica" w:hAnsi="Helvetica" w:cs="Helvetica"/>
          <w:color w:val="333333"/>
          <w:sz w:val="21"/>
          <w:szCs w:val="21"/>
        </w:rPr>
      </w:pP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3477A5">
            <w:pPr>
              <w:spacing w:after="240"/>
              <w:rPr>
                <w:rFonts w:ascii="Helvetica" w:hAnsi="Helvetica" w:cs="Helvetica"/>
                <w:color w:val="333333"/>
                <w:sz w:val="21"/>
                <w:szCs w:val="21"/>
              </w:rPr>
            </w:pPr>
          </w:p>
          <w:p w:rsidR="003477A5" w:rsidRDefault="00A67CBF">
            <w:pPr>
              <w:spacing w:after="240"/>
            </w:pPr>
            <w:r>
              <w:rPr>
                <w:rFonts w:ascii="Helvetica" w:hAnsi="Helvetica" w:cs="Helvetica"/>
                <w:color w:val="333333"/>
                <w:sz w:val="21"/>
                <w:szCs w:val="21"/>
              </w:rPr>
              <w:t xml:space="preserve">We have serious </w:t>
            </w:r>
            <w:r>
              <w:rPr>
                <w:rFonts w:ascii="Helvetica" w:hAnsi="Helvetica" w:cs="Helvetica"/>
                <w:b/>
                <w:color w:val="333333"/>
                <w:sz w:val="21"/>
                <w:szCs w:val="21"/>
              </w:rPr>
              <w:t>reservations about splitting the Great Western franchise into smaller franchises</w:t>
            </w:r>
            <w:r>
              <w:rPr>
                <w:rFonts w:ascii="Helvetica" w:hAnsi="Helvetica" w:cs="Helvetica"/>
                <w:color w:val="333333"/>
                <w:sz w:val="21"/>
                <w:szCs w:val="21"/>
              </w:rPr>
              <w:t>.  We suspect that the colour coding of the two franchises used for the illustrative map may unintentionally reflect the potential financial fortunes of each franchise - the Red route operator, almost certainly the smaller and weaker, dogged by financial uncertainty and needing to compete for scarce train paths to London through Blue’s already-congested Thames Valley homeland.</w:t>
            </w:r>
          </w:p>
          <w:p w:rsidR="003477A5" w:rsidRDefault="00A67CBF">
            <w:pPr>
              <w:spacing w:after="240"/>
            </w:pPr>
            <w:r>
              <w:rPr>
                <w:rFonts w:ascii="Helvetica" w:hAnsi="Helvetica" w:cs="Helvetica"/>
                <w:color w:val="333333"/>
                <w:sz w:val="21"/>
                <w:szCs w:val="21"/>
              </w:rPr>
              <w:t xml:space="preserve">It is unclear from the Public Consultation document as to </w:t>
            </w:r>
            <w:r>
              <w:rPr>
                <w:rFonts w:ascii="Helvetica" w:hAnsi="Helvetica" w:cs="Helvetica"/>
                <w:b/>
                <w:color w:val="333333"/>
                <w:sz w:val="21"/>
                <w:szCs w:val="21"/>
              </w:rPr>
              <w:t xml:space="preserve">what is the problem that the proposal for the franchise split is seeking to address. </w:t>
            </w:r>
          </w:p>
          <w:p w:rsidR="003477A5" w:rsidRDefault="00A67CBF">
            <w:pPr>
              <w:spacing w:after="240"/>
            </w:pPr>
            <w:r>
              <w:rPr>
                <w:rFonts w:ascii="Helvetica" w:hAnsi="Helvetica" w:cs="Helvetica"/>
                <w:color w:val="333333"/>
                <w:sz w:val="21"/>
                <w:szCs w:val="21"/>
              </w:rPr>
              <w:t xml:space="preserve">The three advantages identified do not stand up well to scrutiny.  The first is market focus.  Yet the present incumbent has shown in an exemplary manner how, </w:t>
            </w:r>
            <w:r>
              <w:rPr>
                <w:rFonts w:ascii="Helvetica" w:hAnsi="Helvetica" w:cs="Helvetica"/>
                <w:b/>
                <w:color w:val="333333"/>
                <w:sz w:val="21"/>
                <w:szCs w:val="21"/>
              </w:rPr>
              <w:t>with the right organisational structure and sufficient resource support, market focus can be delivered by a large franchise</w:t>
            </w:r>
            <w:r>
              <w:rPr>
                <w:rFonts w:ascii="Helvetica" w:hAnsi="Helvetica" w:cs="Helvetica"/>
                <w:color w:val="333333"/>
                <w:sz w:val="21"/>
                <w:szCs w:val="21"/>
              </w:rPr>
              <w:t>, for example through the creation of business units internally</w:t>
            </w:r>
            <w:r>
              <w:rPr>
                <w:rFonts w:ascii="Helvetica" w:hAnsi="Helvetica" w:cs="Helvetica"/>
                <w:b/>
                <w:color w:val="333333"/>
                <w:sz w:val="21"/>
                <w:szCs w:val="21"/>
              </w:rPr>
              <w:t xml:space="preserve">.   </w:t>
            </w:r>
            <w:r>
              <w:rPr>
                <w:rFonts w:ascii="Helvetica" w:hAnsi="Helvetica" w:cs="Helvetica"/>
                <w:color w:val="333333"/>
                <w:sz w:val="21"/>
                <w:szCs w:val="21"/>
              </w:rPr>
              <w:t xml:space="preserve">The DfT acknowledged in awarding the South Western Railway franchise that the Great Western investment has yielded benefits for all, stimulating much needed third-party investment which might prove even more productive with greater staff resourcing.  GWR has shown that, by engaging consistently at the local level in Community Rail Partnerships, a large organisation can help deliver stakeholder engagement, building on a vision and market focus that helped transform the fortunes of whole services on a scale unrivalled elsewhere.  </w:t>
            </w:r>
          </w:p>
          <w:p w:rsidR="003477A5" w:rsidRDefault="00A67CBF">
            <w:pPr>
              <w:spacing w:after="240"/>
            </w:pPr>
            <w:r>
              <w:rPr>
                <w:rFonts w:ascii="Helvetica" w:hAnsi="Helvetica" w:cs="Helvetica"/>
                <w:color w:val="333333"/>
                <w:sz w:val="21"/>
                <w:szCs w:val="21"/>
              </w:rPr>
              <w:t xml:space="preserve">The second advantage put forward in the Public Consultation - albeit tentatively - is the suggestion that the smaller financial exposure inherent in a smaller franchise might make it possible for the DfT to attract a wider range of bidders.  But this is unrealistic commercial logic, as shown with some of the earlier franchise awards.  The Wessex Trains franchise came into operation in October 2001.  Less than thirteen months later the then Strategic Rail Authority gave notice that the project was to be abandoned and National Express operated it under a costs-plus remuneration scheme during its final years until its demise in March 2006.  The Cardiff Rail Company (1996-2001), known as Valley Lines, was another abortive exercise where the creation of a small corporate entity was confused with ensuring market focus.  We suspect that, rather than encourage bidder interest, </w:t>
            </w:r>
            <w:r>
              <w:rPr>
                <w:rFonts w:ascii="Helvetica" w:hAnsi="Helvetica" w:cs="Helvetica"/>
                <w:b/>
                <w:color w:val="333333"/>
                <w:sz w:val="21"/>
                <w:szCs w:val="21"/>
              </w:rPr>
              <w:t>a smaller franchise with a significant complement of public service obligations is more like to deter potential investors</w:t>
            </w:r>
            <w:r>
              <w:rPr>
                <w:rFonts w:ascii="Helvetica" w:hAnsi="Helvetica" w:cs="Helvetica"/>
                <w:color w:val="333333"/>
                <w:sz w:val="21"/>
                <w:szCs w:val="21"/>
              </w:rPr>
              <w:t xml:space="preserve">, particular those familiar with the problems associated with similar franchises in the early days of rail franchising.  </w:t>
            </w:r>
          </w:p>
          <w:p w:rsidR="003477A5" w:rsidRDefault="00A67CBF">
            <w:pPr>
              <w:spacing w:after="240"/>
            </w:pPr>
            <w:r>
              <w:rPr>
                <w:rFonts w:ascii="Helvetica" w:hAnsi="Helvetica" w:cs="Helvetica"/>
                <w:color w:val="333333"/>
                <w:sz w:val="21"/>
                <w:szCs w:val="21"/>
              </w:rPr>
              <w:t xml:space="preserve">Realisation of the A303/A358 improvement programme with completion of a dual-carriageway expressway throughout from the M3 to the M5 in the far south west will impact on the commercial fortunes of the Berks &amp; Hants main line which is at the economic heart of the proposed Red franchise. </w:t>
            </w:r>
            <w:r>
              <w:rPr>
                <w:rFonts w:ascii="Helvetica" w:hAnsi="Helvetica" w:cs="Helvetica"/>
                <w:b/>
                <w:color w:val="333333"/>
                <w:sz w:val="21"/>
                <w:szCs w:val="21"/>
              </w:rPr>
              <w:t xml:space="preserve">Smallness may make viability more difficult to achieve.  A new wave of franchise failures is likely to deter those upon whom most prospective new railway undertakings depend – the wider investment community </w:t>
            </w:r>
            <w:r>
              <w:rPr>
                <w:rFonts w:ascii="Helvetica" w:hAnsi="Helvetica" w:cs="Helvetica"/>
                <w:color w:val="333333"/>
                <w:sz w:val="21"/>
                <w:szCs w:val="21"/>
              </w:rPr>
              <w:t>– if they are not already deterred by the inefficiencies of having to bear fixed-cost overheads – e.g. head offices, compliance with railway group standards, etc. – spread across a smaller range of services.</w:t>
            </w:r>
          </w:p>
          <w:p w:rsidR="003477A5" w:rsidRDefault="00A67CBF">
            <w:pPr>
              <w:spacing w:after="240"/>
            </w:pPr>
            <w:r>
              <w:rPr>
                <w:rFonts w:ascii="Helvetica" w:hAnsi="Helvetica" w:cs="Helvetica"/>
                <w:b/>
                <w:color w:val="333333"/>
                <w:sz w:val="21"/>
                <w:szCs w:val="21"/>
              </w:rPr>
              <w:t>Contrary to increasing the field of prospective bidders, logically, there is a possibility that it will be reduced</w:t>
            </w:r>
            <w:r>
              <w:rPr>
                <w:rFonts w:ascii="Helvetica" w:hAnsi="Helvetica" w:cs="Helvetica"/>
                <w:color w:val="333333"/>
                <w:sz w:val="21"/>
                <w:szCs w:val="21"/>
              </w:rPr>
              <w:t>.  If both franchises are let concurrently it could have the perverse effect that, to minimise their exposure, companies may choose to bid for just one part rather than what previously would have been the whole.</w:t>
            </w:r>
          </w:p>
          <w:p w:rsidR="003477A5" w:rsidRDefault="00A67CBF">
            <w:pPr>
              <w:spacing w:after="240"/>
            </w:pPr>
            <w:r>
              <w:rPr>
                <w:rFonts w:ascii="Helvetica" w:hAnsi="Helvetica" w:cs="Helvetica"/>
                <w:color w:val="333333"/>
                <w:sz w:val="21"/>
                <w:szCs w:val="21"/>
              </w:rPr>
              <w:t xml:space="preserve">TravelWatch SouthWest has been struck whilst researching for this response by the </w:t>
            </w:r>
            <w:r>
              <w:rPr>
                <w:rFonts w:ascii="Helvetica" w:hAnsi="Helvetica" w:cs="Helvetica"/>
                <w:b/>
                <w:color w:val="333333"/>
                <w:sz w:val="21"/>
                <w:szCs w:val="21"/>
              </w:rPr>
              <w:t>marked lack of enthusiasm for a franchise split – particularly in those areas covered by the possible Red franchise</w:t>
            </w:r>
            <w:r>
              <w:rPr>
                <w:rFonts w:ascii="Helvetica" w:hAnsi="Helvetica" w:cs="Helvetica"/>
                <w:color w:val="333333"/>
                <w:sz w:val="21"/>
                <w:szCs w:val="21"/>
              </w:rPr>
              <w:t>.  There is a real concern about its potential commercial vulnerability.  We have been reminded repeatedly that passengers are largely disinterested in franchise structures; they want to see added benefits in terms of service provision.  The Government says that it want</w:t>
            </w:r>
            <w:r w:rsidR="007D548C">
              <w:rPr>
                <w:rFonts w:ascii="Helvetica" w:hAnsi="Helvetica" w:cs="Helvetica"/>
                <w:color w:val="333333"/>
                <w:sz w:val="21"/>
                <w:szCs w:val="21"/>
              </w:rPr>
              <w:t>s</w:t>
            </w:r>
            <w:r>
              <w:rPr>
                <w:rFonts w:ascii="Helvetica" w:hAnsi="Helvetica" w:cs="Helvetica"/>
                <w:color w:val="333333"/>
                <w:sz w:val="21"/>
                <w:szCs w:val="21"/>
              </w:rPr>
              <w:t xml:space="preserve"> to put passengers first: changes in franchise arrangements should be judged in terms of how they enable the franchise objectives to be delivered more effectively. Rail professionals – from long-distance drivers to former general managers – remind us of by the operational inflexibilities inherent in a smaller operation.  The only support that we have encountered for a split franchise – and even that has been muted – has come from a lobby interested in the creation of something similar to West Midland Rail in the area of the proposed Metro West.  The creation of a Red franchise may be seen as a way of disencumbering such aspirations. </w:t>
            </w:r>
          </w:p>
          <w:p w:rsidR="003477A5" w:rsidRDefault="00A67CBF">
            <w:pPr>
              <w:spacing w:after="240"/>
            </w:pPr>
            <w:r>
              <w:rPr>
                <w:rFonts w:ascii="Helvetica" w:hAnsi="Helvetica" w:cs="Helvetica"/>
                <w:color w:val="333333"/>
                <w:sz w:val="21"/>
                <w:szCs w:val="21"/>
              </w:rPr>
              <w:t>The final claimed advantage of a split is that it might result in direct competition on particular routes. Observers might be surprised at the dramatic shift this implies in Government policy: historically, Government has favoured the franchising system as encouraging competition ‘for’ the market.  It has been wary about encouraging competition ‘in’ the market – between operators – not least for fear of abstracting revenue from franchisees, to the Government’s potential disadvantage.  It is hard to see immediately how competition between the Red and the Blue franchises would work. The potential for significant additional direct competition between operators in the Thames Valley is limited.  The prospect of increased competition between any of the operators seeking to operate services into London is the physical limit on the number of potential train paths on this congested section of route.  There is already competition for paths between long-distance, outer-suburban, local and freight services.  First call on the additional capacity that should be released with the planned implementation of ERTMS (Level 2), the state of the art train management systems is likely to be absorbed by the need to accommodate the growth in demand already projected for this section.  This points towards the need for</w:t>
            </w:r>
            <w:r>
              <w:rPr>
                <w:rFonts w:ascii="Helvetica" w:hAnsi="Helvetica" w:cs="Helvetica"/>
                <w:b/>
                <w:color w:val="333333"/>
                <w:sz w:val="21"/>
                <w:szCs w:val="21"/>
              </w:rPr>
              <w:t xml:space="preserve"> greater collaboration between operators rather than competition between them</w:t>
            </w:r>
            <w:r>
              <w:rPr>
                <w:rFonts w:ascii="Helvetica" w:hAnsi="Helvetica" w:cs="Helvetica"/>
                <w:color w:val="333333"/>
                <w:sz w:val="21"/>
                <w:szCs w:val="21"/>
              </w:rPr>
              <w:t>, the latter only likely to inflame the political debate about fragmentation and ownership of the railway</w:t>
            </w:r>
            <w:r>
              <w:rPr>
                <w:rFonts w:ascii="Garamond" w:hAnsi="Garamond"/>
                <w:color w:val="000000"/>
                <w:shd w:val="clear" w:color="auto" w:fill="FFFFFF"/>
              </w:rPr>
              <w:t>.</w:t>
            </w:r>
            <w:r>
              <w:rPr>
                <w:rFonts w:ascii="Helvetica" w:hAnsi="Helvetica" w:cs="Helvetica"/>
                <w:color w:val="333333"/>
                <w:sz w:val="21"/>
                <w:szCs w:val="21"/>
              </w:rPr>
              <w:t xml:space="preserve"> </w:t>
            </w:r>
          </w:p>
          <w:p w:rsidR="003477A5" w:rsidRDefault="00A67CBF">
            <w:pPr>
              <w:spacing w:after="240"/>
            </w:pPr>
            <w:r>
              <w:rPr>
                <w:rFonts w:ascii="Helvetica" w:hAnsi="Helvetica" w:cs="Helvetica"/>
                <w:color w:val="333333"/>
                <w:sz w:val="21"/>
                <w:szCs w:val="21"/>
              </w:rPr>
              <w:t>Arguably, a degree of competition with other operators already exists at certain points on the Red network – with CrossCountry between Penzance, Paignton and Taunton, with SWR between Exeter and London and between Weymouth and London, Yeovil and London, Westbury (and, Bath and Bristol) and London.  Assuming that additional line capacity can be identified, encouraging</w:t>
            </w:r>
            <w:r>
              <w:rPr>
                <w:rFonts w:ascii="Helvetica" w:hAnsi="Helvetica" w:cs="Helvetica"/>
                <w:b/>
                <w:color w:val="333333"/>
                <w:sz w:val="21"/>
                <w:szCs w:val="21"/>
              </w:rPr>
              <w:t xml:space="preserve"> innovative open access services is more likely to realise the goal of greater consumer choice, but with lower risk of collateral damage to other services should they fail</w:t>
            </w:r>
            <w:r>
              <w:rPr>
                <w:rFonts w:ascii="Helvetica" w:hAnsi="Helvetica" w:cs="Helvetica"/>
                <w:color w:val="333333"/>
                <w:sz w:val="21"/>
                <w:szCs w:val="21"/>
              </w:rPr>
              <w:t>, than encouraging competition between smaller franchises.</w:t>
            </w:r>
            <w:r>
              <w:rPr>
                <w:rFonts w:ascii="Helvetica" w:hAnsi="Helvetica" w:cs="Helvetica"/>
                <w:b/>
                <w:color w:val="333333"/>
                <w:sz w:val="21"/>
                <w:szCs w:val="21"/>
              </w:rPr>
              <w:t xml:space="preserve">  </w:t>
            </w:r>
          </w:p>
          <w:p w:rsidR="003477A5" w:rsidRDefault="00A67CBF">
            <w:r>
              <w:rPr>
                <w:rFonts w:ascii="Helvetica" w:hAnsi="Helvetica" w:cs="Helvetica"/>
                <w:color w:val="333333"/>
                <w:sz w:val="21"/>
                <w:szCs w:val="21"/>
              </w:rPr>
              <w:t xml:space="preserve">An alternative test of the case for two smaller franchises is to explore it in terms of their ability to deliver more effectively than a single franchise the ten priorities for the new arrangements identified in the Public Consultation.  For the reasons spelt out in the preceding paragraphs, in which we refute the three core advantages claimed in favour of smaller franchises, </w:t>
            </w:r>
            <w:r>
              <w:rPr>
                <w:rFonts w:ascii="Helvetica" w:hAnsi="Helvetica" w:cs="Helvetica"/>
                <w:b/>
                <w:color w:val="333333"/>
                <w:sz w:val="21"/>
                <w:szCs w:val="21"/>
              </w:rPr>
              <w:t>it does not appear that splitting the franchise into a Red and a Blue will deliver the Government’s welcome intended franchise objectives</w:t>
            </w:r>
            <w:r>
              <w:rPr>
                <w:rFonts w:ascii="Helvetica" w:hAnsi="Helvetica" w:cs="Helvetica"/>
                <w:color w:val="333333"/>
                <w:sz w:val="21"/>
                <w:szCs w:val="21"/>
              </w:rPr>
              <w:t xml:space="preserve">.  Indeed, in a number of instances, splitting is likely to be an obstruction to their realisation.  </w:t>
            </w:r>
          </w:p>
          <w:p w:rsidR="003477A5" w:rsidRDefault="003477A5">
            <w:pPr>
              <w:rPr>
                <w:rFonts w:ascii="Helvetica" w:hAnsi="Helvetica" w:cs="Helvetica"/>
                <w:color w:val="333333"/>
                <w:sz w:val="21"/>
                <w:szCs w:val="21"/>
              </w:rPr>
            </w:pPr>
          </w:p>
          <w:p w:rsidR="003477A5" w:rsidRDefault="00A67CBF">
            <w:r>
              <w:rPr>
                <w:rFonts w:ascii="Helvetica" w:hAnsi="Helvetica" w:cs="Helvetica"/>
                <w:color w:val="333333"/>
                <w:sz w:val="21"/>
                <w:szCs w:val="21"/>
              </w:rPr>
              <w:t>The Public Consultation picks up on the potential efficiencies of scale that would be lost with smaller franchises;</w:t>
            </w:r>
            <w:r>
              <w:rPr>
                <w:rFonts w:ascii="Helvetica" w:hAnsi="Helvetica" w:cs="Helvetica"/>
                <w:b/>
                <w:color w:val="333333"/>
                <w:sz w:val="21"/>
                <w:szCs w:val="21"/>
              </w:rPr>
              <w:t xml:space="preserve"> this cannot be reconciled easily with the Government’s priority that a franchise should </w:t>
            </w:r>
            <w:r>
              <w:rPr>
                <w:rStyle w:val="Strong"/>
                <w:rFonts w:ascii="Helvetica" w:hAnsi="Helvetica" w:cs="Helvetica"/>
                <w:color w:val="333333"/>
                <w:sz w:val="21"/>
                <w:szCs w:val="21"/>
              </w:rPr>
              <w:t xml:space="preserve">operate efficiently, providing best value for taxpayers’ and passengers’ money.  </w:t>
            </w:r>
          </w:p>
          <w:p w:rsidR="003477A5" w:rsidRDefault="003477A5"/>
          <w:p w:rsidR="003477A5" w:rsidRDefault="00A67CBF">
            <w:r>
              <w:rPr>
                <w:rStyle w:val="Strong"/>
                <w:rFonts w:ascii="Helvetica" w:hAnsi="Helvetica" w:cs="Helvetica"/>
                <w:b w:val="0"/>
                <w:color w:val="333333"/>
                <w:sz w:val="21"/>
                <w:szCs w:val="21"/>
              </w:rPr>
              <w:t>It also acknowledges the risk to resilience</w:t>
            </w:r>
            <w:r>
              <w:rPr>
                <w:rFonts w:ascii="Helvetica" w:hAnsi="Helvetica" w:cs="Helvetica"/>
                <w:color w:val="333333"/>
                <w:sz w:val="21"/>
                <w:szCs w:val="21"/>
              </w:rPr>
              <w:t xml:space="preserve">, the potential challenge to the management of service coordination, increased journey times and even more complex service offerings, including ticketing arrangements that are likely to confuse passengers.   As such, </w:t>
            </w:r>
            <w:r>
              <w:rPr>
                <w:rFonts w:ascii="Helvetica" w:hAnsi="Helvetica" w:cs="Helvetica"/>
                <w:b/>
                <w:color w:val="333333"/>
                <w:sz w:val="21"/>
                <w:szCs w:val="21"/>
              </w:rPr>
              <w:t>the proposal to split fails to assure the Government’s commitment to an intended excellent and continually-improving customer experience</w:t>
            </w:r>
            <w:r>
              <w:rPr>
                <w:rFonts w:ascii="Helvetica" w:hAnsi="Helvetica" w:cs="Helvetica"/>
                <w:color w:val="333333"/>
                <w:sz w:val="21"/>
                <w:szCs w:val="21"/>
              </w:rPr>
              <w:t xml:space="preserve">.  </w:t>
            </w:r>
            <w:r>
              <w:rPr>
                <w:rFonts w:ascii="Helvetica" w:hAnsi="Helvetica" w:cs="Helvetica"/>
                <w:color w:val="333333"/>
                <w:sz w:val="21"/>
                <w:szCs w:val="21"/>
              </w:rPr>
              <w:br/>
            </w:r>
            <w:r>
              <w:rPr>
                <w:rFonts w:ascii="Helvetica" w:hAnsi="Helvetica" w:cs="Helvetica"/>
                <w:color w:val="333333"/>
                <w:sz w:val="21"/>
                <w:szCs w:val="21"/>
              </w:rPr>
              <w:br/>
              <w:t>Splitting could have further disadvantages, which should also be noted:</w:t>
            </w:r>
          </w:p>
          <w:p w:rsidR="003477A5" w:rsidRDefault="003477A5"/>
          <w:p w:rsidR="003477A5" w:rsidRDefault="00A67CBF">
            <w:pPr>
              <w:pStyle w:val="EndnoteText"/>
              <w:numPr>
                <w:ilvl w:val="0"/>
                <w:numId w:val="7"/>
              </w:numPr>
              <w:shd w:val="clear" w:color="auto" w:fill="FFFFFF"/>
            </w:pPr>
            <w:r>
              <w:rPr>
                <w:rFonts w:ascii="Helvetica" w:hAnsi="Helvetica" w:cs="Helvetica"/>
                <w:color w:val="333333"/>
                <w:sz w:val="21"/>
                <w:szCs w:val="21"/>
              </w:rPr>
              <w:t xml:space="preserve">Splitting the GWR network into two will be seen by critics as </w:t>
            </w:r>
            <w:r>
              <w:rPr>
                <w:rFonts w:ascii="Helvetica" w:hAnsi="Helvetica" w:cs="Helvetica"/>
                <w:b/>
                <w:color w:val="333333"/>
                <w:sz w:val="21"/>
                <w:szCs w:val="21"/>
              </w:rPr>
              <w:t>further evidence that privatisation has led to fragmentation of the network</w:t>
            </w:r>
            <w:r>
              <w:rPr>
                <w:rFonts w:ascii="Helvetica" w:hAnsi="Helvetica" w:cs="Helvetica"/>
                <w:color w:val="333333"/>
                <w:sz w:val="21"/>
                <w:szCs w:val="21"/>
              </w:rPr>
              <w:t xml:space="preserve">.  It is likely to exacerbate the challenges facing train service provision in the border-lands between franchises and, in the case of the GWR area, lead to the erosion of service provision in those areas less proficient in commanding ‘share of shout’.  For example, a potential tension is emerging over Berks &amp; Hants line stopping patterns between stakeholders in the far south west, intent on speedier through services to London, and those in the mid-west, a significant number </w:t>
            </w:r>
            <w:r w:rsidR="00375B45">
              <w:rPr>
                <w:rFonts w:ascii="Helvetica" w:hAnsi="Helvetica" w:cs="Helvetica"/>
                <w:color w:val="333333"/>
                <w:sz w:val="21"/>
                <w:szCs w:val="21"/>
              </w:rPr>
              <w:t>of whom</w:t>
            </w:r>
            <w:r>
              <w:rPr>
                <w:rFonts w:ascii="Helvetica" w:hAnsi="Helvetica" w:cs="Helvetica"/>
                <w:color w:val="333333"/>
                <w:sz w:val="21"/>
                <w:szCs w:val="21"/>
              </w:rPr>
              <w:t xml:space="preserve"> are long-distance commuters, as well as passengers reliant on making journey connections through hubs such as Westbury. The existing franchise is already diverse in terms of the markets served, as the Public Consultation acknowledges. The viability of many of its services depends on them serving very different markets during the course of their journey.   The heterogeneity of the passenger load of trains travelling the Berks &amp; Hants to and from London is the guarantor of the route’s viability. </w:t>
            </w:r>
            <w:r>
              <w:rPr>
                <w:rFonts w:ascii="Helvetica" w:hAnsi="Helvetica" w:cs="Helvetica"/>
                <w:b/>
                <w:color w:val="333333"/>
                <w:sz w:val="21"/>
                <w:szCs w:val="21"/>
              </w:rPr>
              <w:t>Without the demand from the Thames Valley and stations serving the mid-west, the long-term viability – and connectivity - of services to the far south west may be threatened</w:t>
            </w:r>
            <w:r>
              <w:rPr>
                <w:rFonts w:ascii="Helvetica" w:hAnsi="Helvetica" w:cs="Helvetica"/>
                <w:color w:val="333333"/>
                <w:sz w:val="21"/>
                <w:szCs w:val="21"/>
              </w:rPr>
              <w:t>.  (More trips are made between West Wiltshire stations and the far south west than are made between Penzance and Plymouth.  Wiltshire population forecasts suggest that the populations of Westbury and Trowbridge will both expand by 2037 to over 80,000, resulting in a combined total population of over 150,000 when the almost contiguous towns of Bradford-on-Avon, Melksham and Warminster are taken into account – similar to the population of the City of Exeter or to Torbay.) Certain key services, notably those linking Severnside with the South Coast, traverse both what would be the Red and the Blue franchises.  They are essential to the connectivity of the network and their efficacy could require particularly demanding cooperation and collaboration between the two smaller franchises.</w:t>
            </w:r>
          </w:p>
          <w:p w:rsidR="003477A5" w:rsidRDefault="003477A5">
            <w:pPr>
              <w:pStyle w:val="EndnoteText"/>
              <w:shd w:val="clear" w:color="auto" w:fill="FFFFFF"/>
              <w:ind w:left="360"/>
              <w:rPr>
                <w:color w:val="212121"/>
              </w:rPr>
            </w:pPr>
          </w:p>
          <w:p w:rsidR="003477A5" w:rsidRDefault="00A67CBF">
            <w:pPr>
              <w:pStyle w:val="EndnoteText"/>
              <w:numPr>
                <w:ilvl w:val="0"/>
                <w:numId w:val="7"/>
              </w:numPr>
              <w:shd w:val="clear" w:color="auto" w:fill="FFFFFF"/>
            </w:pPr>
            <w:r>
              <w:rPr>
                <w:rFonts w:ascii="Helvetica" w:hAnsi="Helvetica" w:cs="Helvetica"/>
                <w:color w:val="333333"/>
                <w:sz w:val="21"/>
                <w:szCs w:val="21"/>
              </w:rPr>
              <w:t xml:space="preserve">The </w:t>
            </w:r>
            <w:r>
              <w:rPr>
                <w:rFonts w:ascii="Helvetica" w:hAnsi="Helvetica" w:cs="Helvetica"/>
                <w:b/>
                <w:color w:val="333333"/>
                <w:sz w:val="21"/>
                <w:szCs w:val="21"/>
              </w:rPr>
              <w:t>loss of through trains from northern Somerset and North Somerset</w:t>
            </w:r>
            <w:r>
              <w:rPr>
                <w:rFonts w:ascii="Helvetica" w:hAnsi="Helvetica" w:cs="Helvetica"/>
                <w:color w:val="333333"/>
                <w:sz w:val="21"/>
                <w:szCs w:val="21"/>
              </w:rPr>
              <w:t xml:space="preserve"> (between Bridgwater/Highbridge and Burnham/Nailsea and Backwell/Weston-super-Mare/Yatton) and Bath Spa/Swindon/Didcot/London Paddington would cause considerable inconvenience.  Through passengers would need to change trains at Bristol Temple Meads, placing additional pressure on the station facilities.  The overall result would be lengthened journey times with a consequent potential impact on the prospects of the new Enterprise Zones that the Government is funding on the site of the Royal Ordnance factory at Puriton between Bridgwater and Highbridge and at Bath and the Somer Valley.</w:t>
            </w:r>
          </w:p>
          <w:p w:rsidR="003477A5" w:rsidRDefault="00A67CBF">
            <w:pPr>
              <w:pStyle w:val="EndnoteText"/>
              <w:ind w:left="360"/>
              <w:rPr>
                <w:rFonts w:ascii="Helvetica" w:hAnsi="Helvetica" w:cs="Helvetica"/>
                <w:color w:val="333333"/>
                <w:sz w:val="21"/>
                <w:szCs w:val="21"/>
              </w:rPr>
            </w:pPr>
            <w:r>
              <w:rPr>
                <w:rFonts w:ascii="Helvetica" w:hAnsi="Helvetica" w:cs="Helvetica"/>
                <w:color w:val="333333"/>
                <w:sz w:val="21"/>
                <w:szCs w:val="21"/>
              </w:rPr>
              <w:t xml:space="preserve">  </w:t>
            </w:r>
          </w:p>
          <w:p w:rsidR="003477A5" w:rsidRDefault="00A67CBF">
            <w:pPr>
              <w:pStyle w:val="EndnoteText"/>
              <w:numPr>
                <w:ilvl w:val="0"/>
                <w:numId w:val="7"/>
              </w:numPr>
            </w:pPr>
            <w:r>
              <w:rPr>
                <w:rFonts w:ascii="Helvetica" w:hAnsi="Helvetica" w:cs="Helvetica"/>
                <w:color w:val="333333"/>
                <w:sz w:val="21"/>
                <w:szCs w:val="21"/>
              </w:rPr>
              <w:t xml:space="preserve">The extensive consultation undertaken by TravelWatch SouthWest during 2017 in the preparation of </w:t>
            </w:r>
            <w:r>
              <w:rPr>
                <w:rFonts w:ascii="Helvetica" w:hAnsi="Helvetica" w:cs="Helvetica"/>
                <w:i/>
                <w:color w:val="333333"/>
                <w:sz w:val="21"/>
                <w:szCs w:val="21"/>
              </w:rPr>
              <w:t>Connecting the Dots</w:t>
            </w:r>
            <w:r>
              <w:rPr>
                <w:rFonts w:ascii="Helvetica" w:hAnsi="Helvetica" w:cs="Helvetica"/>
                <w:color w:val="333333"/>
                <w:sz w:val="21"/>
                <w:szCs w:val="21"/>
              </w:rPr>
              <w:t xml:space="preserve"> led us to conclude that, </w:t>
            </w:r>
            <w:r>
              <w:rPr>
                <w:rFonts w:ascii="Helvetica" w:hAnsi="Helvetica" w:cs="Helvetica"/>
                <w:b/>
                <w:color w:val="333333"/>
                <w:sz w:val="21"/>
                <w:szCs w:val="21"/>
              </w:rPr>
              <w:t>contrary to moving towards smaller franchises, there is a strong case for exploring replacement of the existing CrossCountry services by fast inter-city services</w:t>
            </w:r>
            <w:r>
              <w:rPr>
                <w:rFonts w:ascii="Helvetica" w:hAnsi="Helvetica" w:cs="Helvetica"/>
                <w:color w:val="333333"/>
                <w:sz w:val="21"/>
                <w:szCs w:val="21"/>
              </w:rPr>
              <w:t>.  These would link the South West with neighbouring regions – the focus of most of the growth in trips to places outside the South West – and, within the South West, integrated with the successor arrangements to the existing Great Western franchise.</w:t>
            </w:r>
          </w:p>
          <w:p w:rsidR="003477A5" w:rsidRDefault="003477A5">
            <w:pPr>
              <w:pStyle w:val="ListParagraph"/>
            </w:pPr>
          </w:p>
          <w:p w:rsidR="003477A5" w:rsidRDefault="00A67CBF">
            <w:pPr>
              <w:pStyle w:val="EndnoteText"/>
              <w:numPr>
                <w:ilvl w:val="0"/>
                <w:numId w:val="7"/>
              </w:numPr>
            </w:pPr>
            <w:r>
              <w:rPr>
                <w:rFonts w:ascii="Helvetica" w:hAnsi="Helvetica" w:cs="Helvetica"/>
                <w:color w:val="333333"/>
                <w:sz w:val="21"/>
                <w:szCs w:val="21"/>
              </w:rPr>
              <w:t xml:space="preserve">Service quality in the south west – and in the rail network nationally – is also frequently diminished by problems with </w:t>
            </w:r>
            <w:r>
              <w:rPr>
                <w:rFonts w:ascii="Helvetica" w:hAnsi="Helvetica" w:cs="Helvetica"/>
                <w:b/>
                <w:color w:val="333333"/>
                <w:sz w:val="21"/>
                <w:szCs w:val="21"/>
              </w:rPr>
              <w:t>managing the interfaces between different franchises</w:t>
            </w:r>
            <w:r>
              <w:rPr>
                <w:rFonts w:ascii="Helvetica" w:hAnsi="Helvetica" w:cs="Helvetica"/>
                <w:color w:val="333333"/>
                <w:sz w:val="21"/>
                <w:szCs w:val="21"/>
              </w:rPr>
              <w:t>, something characterised by the “Can’t really tell you, it’d not a Great Western train” type response this is still to be heard from some train and station staff.  It does little to commend the present franchising model to the electorate. Most franchises continue to operate as ‘islands’, as if no parts of the rail network existed beyond their boundaries.  This is reflected in franchise publications, such as route maps and the scarcity with which destinations involving cross-boundary journeys are promoted. Franchise boundaries impede the development of new service routes.</w:t>
            </w:r>
          </w:p>
          <w:p w:rsidR="003477A5" w:rsidRDefault="003477A5">
            <w:pPr>
              <w:pStyle w:val="EndnoteText"/>
            </w:pPr>
          </w:p>
          <w:p w:rsidR="003477A5" w:rsidRDefault="00A67CBF">
            <w:pPr>
              <w:pStyle w:val="EndnoteText"/>
              <w:numPr>
                <w:ilvl w:val="0"/>
                <w:numId w:val="7"/>
              </w:numPr>
            </w:pPr>
            <w:r>
              <w:rPr>
                <w:rFonts w:ascii="Helvetica" w:hAnsi="Helvetica" w:cs="Helvetica"/>
                <w:color w:val="333333"/>
                <w:sz w:val="21"/>
                <w:szCs w:val="21"/>
              </w:rPr>
              <w:t xml:space="preserve">The operator of the Red franchise is unlikely to have </w:t>
            </w:r>
            <w:r>
              <w:rPr>
                <w:rFonts w:ascii="Helvetica" w:hAnsi="Helvetica" w:cs="Helvetica"/>
                <w:b/>
                <w:color w:val="333333"/>
                <w:sz w:val="21"/>
                <w:szCs w:val="21"/>
              </w:rPr>
              <w:t>sufficient high capacity quality rolling stock to meet peak demand for travel</w:t>
            </w:r>
            <w:r>
              <w:rPr>
                <w:rFonts w:ascii="Helvetica" w:hAnsi="Helvetica" w:cs="Helvetica"/>
                <w:color w:val="333333"/>
                <w:sz w:val="21"/>
                <w:szCs w:val="21"/>
              </w:rPr>
              <w:t xml:space="preserve"> to the far south west on summer weekends or for deployment on summer weekend services between Bristol and Weymouth, quite apart from the transfer of commuter stock to supplement capacity on the Cornish branch lines during the holiday period. The current franchise redeploys resources to meet demand for travel to and from major events within the operating area (e.g. Glastonbury Festival, International Rugby Matches and other events at the Principality Stadium, Cardiff, the Cheltenham Festival etc.).  Its replacement in planning by two separate franchises and could result in inadequate resources being deployed to meet customer demand, resulting in high profile condemnation of the franchising arrangements.  Similarly, the existing franchise redeploys large capacity rolling stock to meet seasonal peak demand, particularly on summer weekends.  </w:t>
            </w:r>
          </w:p>
          <w:p w:rsidR="003477A5" w:rsidRDefault="003477A5">
            <w:pPr>
              <w:pStyle w:val="EndnoteText"/>
              <w:rPr>
                <w:rFonts w:ascii="Helvetica" w:hAnsi="Helvetica" w:cs="Helvetica"/>
                <w:color w:val="333333"/>
                <w:sz w:val="21"/>
                <w:szCs w:val="21"/>
              </w:rPr>
            </w:pPr>
          </w:p>
          <w:p w:rsidR="003477A5" w:rsidRDefault="00A67CBF">
            <w:pPr>
              <w:pStyle w:val="EndnoteText"/>
              <w:numPr>
                <w:ilvl w:val="0"/>
                <w:numId w:val="7"/>
              </w:numPr>
            </w:pPr>
            <w:r>
              <w:rPr>
                <w:rFonts w:ascii="Helvetica" w:hAnsi="Helvetica" w:cs="Helvetica"/>
                <w:color w:val="333333"/>
                <w:sz w:val="21"/>
                <w:szCs w:val="21"/>
              </w:rPr>
              <w:t xml:space="preserve">Research commissioned jointly from Jacobs by the DfT and ORR, published in 2011, showed that </w:t>
            </w:r>
            <w:r>
              <w:rPr>
                <w:rFonts w:ascii="Helvetica" w:hAnsi="Helvetica" w:cs="Helvetica"/>
                <w:b/>
                <w:color w:val="333333"/>
                <w:sz w:val="21"/>
                <w:szCs w:val="21"/>
              </w:rPr>
              <w:t xml:space="preserve">potential operational efficiency improvements can be achieved with franchise consolidation </w:t>
            </w:r>
            <w:r>
              <w:rPr>
                <w:rFonts w:ascii="Helvetica" w:hAnsi="Helvetica" w:cs="Helvetica"/>
                <w:color w:val="333333"/>
                <w:sz w:val="24"/>
                <w:szCs w:val="24"/>
              </w:rPr>
              <w:t xml:space="preserve">(see </w:t>
            </w:r>
            <w:r>
              <w:rPr>
                <w:color w:val="000000"/>
                <w:sz w:val="24"/>
                <w:szCs w:val="24"/>
              </w:rPr>
              <w:t>http://orr.gov.uk/__data/assets/pdf_file/0015/2742/rvfm-jacobs-franchising-march2011.pdf</w:t>
            </w:r>
            <w:r>
              <w:rPr>
                <w:rFonts w:ascii="Helvetica" w:hAnsi="Helvetica" w:cs="Helvetica"/>
                <w:color w:val="333333"/>
                <w:sz w:val="24"/>
                <w:szCs w:val="24"/>
              </w:rPr>
              <w:t xml:space="preserve">).  </w:t>
            </w:r>
            <w:r>
              <w:rPr>
                <w:rFonts w:ascii="Helvetica" w:hAnsi="Helvetica" w:cs="Helvetica"/>
                <w:color w:val="333333"/>
                <w:sz w:val="21"/>
                <w:szCs w:val="21"/>
              </w:rPr>
              <w:t>The work also refers to econometric analysis conducted by Wheat &amp; Smith of the Institute of Transport Studies at the University of Leeds for ORR in 2010 in connection with the creation of a single Great Western TOC.  The study found a significant (inverse) relationship between TOC operating costs (excluding infrastructure charges) and train service density (train km divided by route km) revealing that reduced overlaps is beneficial in terms of TOC costs.  They are seen as a key driver of potential cost savings.  Indeed, even the later research by Wheat &amp; Smith (</w:t>
            </w:r>
            <w:hyperlink r:id="rId11" w:history="1">
              <w:r>
                <w:rPr>
                  <w:rStyle w:val="Hyperlink"/>
                  <w:rFonts w:ascii="Helvetica" w:hAnsi="Helvetica" w:cs="Helvetica"/>
                  <w:sz w:val="21"/>
                  <w:szCs w:val="21"/>
                </w:rPr>
                <w:t>http://eprints.whiterose.ac.uk/88527/</w:t>
              </w:r>
            </w:hyperlink>
            <w:r>
              <w:rPr>
                <w:rFonts w:ascii="Helvetica" w:hAnsi="Helvetica" w:cs="Helvetica"/>
                <w:color w:val="333333"/>
                <w:sz w:val="21"/>
                <w:szCs w:val="21"/>
              </w:rPr>
              <w:t>), sometimes cited as providing evidence of the diseconomies of scale of larger franchises, makes it clear that the focus of their complex econometric modelling is on returns to scale and density in the context of a separated, passenger train operation only service excluding infrastructure costs.  The research appears to make the argument that economies arising from improved returns to density were dampened in the case of Greater Western by the impact of heterogeneity (e.g., different types of rolling stock operated, the proportion of train-km operated within each of the service groups – intercity, London &amp; South Eastern (commuting) and regional – train length, speed and passenger load factor).  It is difficult to understand how public service provision of rail can be made without a significant degree of heterogeneity in serving the complex over-lapping and interdependent markets of the franchise area,</w:t>
            </w:r>
          </w:p>
          <w:p w:rsidR="003477A5" w:rsidRDefault="003477A5">
            <w:pPr>
              <w:pStyle w:val="ListParagraph"/>
              <w:rPr>
                <w:rFonts w:ascii="Helvetica" w:hAnsi="Helvetica" w:cs="Helvetica"/>
                <w:color w:val="333333"/>
                <w:sz w:val="21"/>
                <w:szCs w:val="21"/>
              </w:rPr>
            </w:pPr>
          </w:p>
          <w:p w:rsidR="003477A5" w:rsidRDefault="00A67CBF">
            <w:pPr>
              <w:pStyle w:val="EndnoteText"/>
              <w:numPr>
                <w:ilvl w:val="0"/>
                <w:numId w:val="7"/>
              </w:numPr>
            </w:pPr>
            <w:r>
              <w:rPr>
                <w:rFonts w:ascii="Helvetica" w:hAnsi="Helvetica" w:cs="Helvetica"/>
                <w:b/>
                <w:color w:val="333333"/>
                <w:sz w:val="21"/>
                <w:szCs w:val="21"/>
              </w:rPr>
              <w:t xml:space="preserve">Market focus is secured most readily and cost-effectively by insistence on effective train operator engagement with stakeholder representatives </w:t>
            </w:r>
            <w:r>
              <w:rPr>
                <w:rFonts w:ascii="Helvetica" w:hAnsi="Helvetica" w:cs="Helvetica"/>
                <w:color w:val="333333"/>
                <w:sz w:val="21"/>
                <w:szCs w:val="21"/>
              </w:rPr>
              <w:t>underpinned by the creation of specialist business units where appropriate within the franchisees organisation. (The success of GWR’s work with Community Rail Partnerships is evidence of this.)  We see, combined with a commitment to better understanding of users’ needs and expectations, as the way to increase passenger satisfaction and numbers more quickly.  The DfT’s Consultation Document makes passing reference to ‘reasons to believe that [not retaining Great Western as a single franchise] might be more effective in the period ahead; e.g. by allowing a better focus on the different markets within the franchise’. In as much as Wheat &amp; Smith have identified potential diseconomies of scale in larger franchise operations when infrastructure considerations are excluded, we consider that splitting the franchise reflects a focus that is driven by operational considerations (i.e. the opportunity to derive economies through grouping services homogeneously) rather than managing the necessarily heterogeneous needs of different markets, whether geographic or behavioural.</w:t>
            </w:r>
          </w:p>
          <w:p w:rsidR="003477A5" w:rsidRDefault="003477A5">
            <w:pPr>
              <w:pStyle w:val="EndnoteText"/>
              <w:rPr>
                <w:rFonts w:ascii="Helvetica" w:hAnsi="Helvetica" w:cs="Helvetica"/>
                <w:color w:val="333333"/>
                <w:sz w:val="21"/>
                <w:szCs w:val="21"/>
              </w:rPr>
            </w:pPr>
          </w:p>
        </w:tc>
      </w:tr>
    </w:tbl>
    <w:p w:rsidR="003477A5" w:rsidRDefault="003477A5">
      <w:pPr>
        <w:rPr>
          <w:rFonts w:ascii="Helvetica" w:hAnsi="Helvetica" w:cs="Helvetica"/>
          <w:b/>
          <w:bCs/>
          <w:color w:val="333333"/>
          <w:sz w:val="36"/>
          <w:szCs w:val="36"/>
        </w:rPr>
      </w:pPr>
    </w:p>
    <w:p w:rsidR="003477A5" w:rsidRDefault="00A67CBF">
      <w:pPr>
        <w:rPr>
          <w:rFonts w:ascii="Helvetica" w:hAnsi="Helvetica" w:cs="Helvetica"/>
          <w:b/>
          <w:bCs/>
          <w:color w:val="333333"/>
          <w:sz w:val="36"/>
          <w:szCs w:val="36"/>
        </w:rPr>
      </w:pPr>
      <w:r>
        <w:rPr>
          <w:rFonts w:ascii="Helvetica" w:hAnsi="Helvetica" w:cs="Helvetica"/>
          <w:b/>
          <w:bCs/>
          <w:color w:val="333333"/>
          <w:sz w:val="36"/>
          <w:szCs w:val="36"/>
        </w:rPr>
        <w:t xml:space="preserve">7. Geographic boundaries of the franchise </w:t>
      </w:r>
    </w:p>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r>
        <w:rPr>
          <w:rFonts w:ascii="Helvetica" w:hAnsi="Helvetica" w:cs="Helvetica"/>
          <w:bCs/>
          <w:color w:val="333333"/>
          <w:sz w:val="21"/>
          <w:szCs w:val="21"/>
        </w:rPr>
        <w:t>We have identified some potential options for changes to the geographic boundaries of the franchise.  These options would remain relevant whether the franchise is retained as a single large, integrated franchise or split into smaller franchises.  These options are:</w:t>
      </w:r>
      <w:r>
        <w:rPr>
          <w:rFonts w:ascii="Helvetica" w:hAnsi="Helvetica" w:cs="Helvetica"/>
          <w:b/>
          <w:bCs/>
          <w:color w:val="333333"/>
          <w:sz w:val="21"/>
          <w:szCs w:val="21"/>
        </w:rPr>
        <w:t xml:space="preserve"> </w:t>
      </w:r>
    </w:p>
    <w:tbl>
      <w:tblPr>
        <w:tblW w:w="9026" w:type="dxa"/>
        <w:tblCellMar>
          <w:left w:w="10" w:type="dxa"/>
          <w:right w:w="10" w:type="dxa"/>
        </w:tblCellMar>
        <w:tblLook w:val="0000" w:firstRow="0" w:lastRow="0" w:firstColumn="0" w:lastColumn="0" w:noHBand="0" w:noVBand="0"/>
      </w:tblPr>
      <w:tblGrid>
        <w:gridCol w:w="9026"/>
      </w:tblGrid>
      <w:tr w:rsidR="003477A5">
        <w:tc>
          <w:tcPr>
            <w:tcW w:w="9026" w:type="dxa"/>
            <w:shd w:val="clear" w:color="auto" w:fill="auto"/>
            <w:tcMar>
              <w:top w:w="0" w:type="dxa"/>
              <w:left w:w="0" w:type="dxa"/>
              <w:bottom w:w="0" w:type="dxa"/>
              <w:right w:w="0" w:type="dxa"/>
            </w:tcMar>
          </w:tcPr>
          <w:p w:rsidR="003477A5" w:rsidRDefault="00A67CBF">
            <w:pPr>
              <w:pStyle w:val="ListParagraph"/>
              <w:numPr>
                <w:ilvl w:val="0"/>
                <w:numId w:val="8"/>
              </w:numPr>
              <w:spacing w:before="300"/>
              <w:rPr>
                <w:rFonts w:ascii="Helvetica" w:hAnsi="Helvetica" w:cs="Helvetica"/>
                <w:color w:val="333333"/>
                <w:sz w:val="21"/>
                <w:szCs w:val="21"/>
              </w:rPr>
            </w:pPr>
            <w:r>
              <w:rPr>
                <w:rFonts w:ascii="Helvetica" w:hAnsi="Helvetica" w:cs="Helvetica"/>
                <w:color w:val="333333"/>
                <w:sz w:val="21"/>
                <w:szCs w:val="21"/>
              </w:rPr>
              <w:t>the Greenford branch.  Some stakeholders have questioned whether the Greenford branch is best served in future by the Great Western franchise or whether there could be a case for incorporating it into the Chiltern franchise, which is due to be re-let in 2021.  Chiltern operates a large fleet of similar diesel trains from its nearby depot at Wembley and could therefore be well placed to operate the service in future.</w:t>
            </w:r>
          </w:p>
        </w:tc>
      </w:tr>
    </w:tbl>
    <w:p w:rsidR="003477A5" w:rsidRDefault="003477A5">
      <w:pPr>
        <w:rPr>
          <w:rFonts w:ascii="Helvetica" w:hAnsi="Helvetica" w:cs="Helvetica"/>
          <w:b/>
          <w:bCs/>
          <w:vanish/>
          <w:color w:val="333333"/>
          <w:sz w:val="21"/>
          <w:szCs w:val="21"/>
        </w:rPr>
      </w:pPr>
    </w:p>
    <w:tbl>
      <w:tblPr>
        <w:tblW w:w="9026" w:type="dxa"/>
        <w:tblCellMar>
          <w:left w:w="10" w:type="dxa"/>
          <w:right w:w="10" w:type="dxa"/>
        </w:tblCellMar>
        <w:tblLook w:val="0000" w:firstRow="0" w:lastRow="0" w:firstColumn="0" w:lastColumn="0" w:noHBand="0" w:noVBand="0"/>
      </w:tblPr>
      <w:tblGrid>
        <w:gridCol w:w="9026"/>
      </w:tblGrid>
      <w:tr w:rsidR="003477A5">
        <w:tc>
          <w:tcPr>
            <w:tcW w:w="9026" w:type="dxa"/>
            <w:shd w:val="clear" w:color="auto" w:fill="auto"/>
            <w:tcMar>
              <w:top w:w="0" w:type="dxa"/>
              <w:left w:w="0" w:type="dxa"/>
              <w:bottom w:w="0" w:type="dxa"/>
              <w:right w:w="0" w:type="dxa"/>
            </w:tcMar>
          </w:tcPr>
          <w:p w:rsidR="003477A5" w:rsidRDefault="00A67CBF">
            <w:pPr>
              <w:pStyle w:val="ListParagraph"/>
              <w:numPr>
                <w:ilvl w:val="0"/>
                <w:numId w:val="8"/>
              </w:numPr>
              <w:spacing w:before="300" w:after="300"/>
              <w:rPr>
                <w:rFonts w:ascii="Helvetica" w:hAnsi="Helvetica" w:cs="Helvetica"/>
                <w:color w:val="333333"/>
                <w:sz w:val="21"/>
                <w:szCs w:val="21"/>
              </w:rPr>
            </w:pPr>
            <w:r>
              <w:rPr>
                <w:rFonts w:ascii="Helvetica" w:hAnsi="Helvetica" w:cs="Helvetica"/>
                <w:color w:val="333333"/>
                <w:sz w:val="21"/>
                <w:szCs w:val="21"/>
              </w:rPr>
              <w:t>Brighton. The current Great Western franchise operates a small number of through services from Brighton to Southampton, Salisbury, Bristol and beyond. While these services provide useful direct links to and from the south coast, they are infrequent and contribute to an irregular service pattern between Brighton, Chichester and Southampton. Transferring the Brighton-Southampton part of these services into the successor to the current Thameslink, Southern &amp; Great Northern (TSGN) franchise, could allow a more consistent and regular service pattern to be operated on this route. Electric trains could replace diesels between Southampton and Brighton, providing more seats than the Great Western franchise provides today and releasing diesel trains to provide more space for passengers on other core routes within the Great Western franchise. If GWR services to/from Brighton were to be withdrawn, we would require the TSGN franchise to maintain sufficient capacity between Brighton, Portsmouth and Southampton. Different arguments might apply on weekdays, when these services provide a commuter service to/from Brighton, and where services beyond Southampton may be less important; and at weekends, when these services may more important for leisure passengers travelling longer distances who wish to avoid changing trains.</w:t>
            </w:r>
          </w:p>
        </w:tc>
      </w:tr>
    </w:tbl>
    <w:p w:rsidR="003477A5" w:rsidRDefault="00A67CBF">
      <w:pPr>
        <w:rPr>
          <w:rFonts w:ascii="Helvetica" w:hAnsi="Helvetica" w:cs="Helvetica"/>
          <w:b/>
          <w:bCs/>
          <w:color w:val="333333"/>
          <w:sz w:val="21"/>
          <w:szCs w:val="21"/>
        </w:rPr>
      </w:pPr>
      <w:r>
        <w:rPr>
          <w:rFonts w:ascii="Helvetica" w:hAnsi="Helvetica" w:cs="Helvetica"/>
          <w:b/>
          <w:bCs/>
          <w:color w:val="333333"/>
          <w:sz w:val="21"/>
          <w:szCs w:val="21"/>
        </w:rPr>
        <w:br/>
        <w:t> </w:t>
      </w:r>
    </w:p>
    <w:p w:rsidR="003477A5" w:rsidRDefault="003477A5">
      <w:pPr>
        <w:rPr>
          <w:rFonts w:ascii="Helvetica" w:hAnsi="Helvetica" w:cs="Helvetica"/>
          <w:color w:val="333333"/>
          <w:sz w:val="21"/>
          <w:szCs w:val="21"/>
        </w:rPr>
      </w:pP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12. Do you agree or disagree with the option outlined above for transferring Greenford branch services between West Ealing and Greenford to the Chiltern franchise? </w:t>
      </w:r>
    </w:p>
    <w:p w:rsidR="003477A5" w:rsidRDefault="003477A5">
      <w:pPr>
        <w:rPr>
          <w:rFonts w:ascii="Helvetica" w:hAnsi="Helvetica" w:cs="Helvetica"/>
          <w:color w:val="333333"/>
          <w:sz w:val="21"/>
          <w:szCs w:val="21"/>
        </w:rPr>
      </w:pPr>
    </w:p>
    <w:tbl>
      <w:tblPr>
        <w:tblW w:w="1431" w:type="dxa"/>
        <w:tblCellMar>
          <w:left w:w="10" w:type="dxa"/>
          <w:right w:w="10" w:type="dxa"/>
        </w:tblCellMar>
        <w:tblLook w:val="0000" w:firstRow="0" w:lastRow="0" w:firstColumn="0" w:lastColumn="0" w:noHBand="0" w:noVBand="0"/>
      </w:tblPr>
      <w:tblGrid>
        <w:gridCol w:w="426"/>
        <w:gridCol w:w="1005"/>
      </w:tblGrid>
      <w:tr w:rsidR="003477A5">
        <w:tc>
          <w:tcPr>
            <w:tcW w:w="426" w:type="dxa"/>
            <w:shd w:val="clear" w:color="auto" w:fill="auto"/>
            <w:tcMar>
              <w:top w:w="0" w:type="dxa"/>
              <w:left w:w="0" w:type="dxa"/>
              <w:bottom w:w="0" w:type="dxa"/>
              <w:right w:w="0" w:type="dxa"/>
            </w:tcMar>
          </w:tcPr>
          <w:p w:rsidR="003477A5" w:rsidRDefault="00A67CBF">
            <w:r>
              <w:rPr>
                <w:rFonts w:ascii="Helvetica" w:hAnsi="Helvetica" w:cs="Helvetica"/>
                <w:color w:val="333333"/>
                <w:sz w:val="21"/>
                <w:szCs w:val="21"/>
              </w:rPr>
              <w:t>  </w:t>
            </w:r>
          </w:p>
        </w:tc>
        <w:tc>
          <w:tcPr>
            <w:tcW w:w="1005" w:type="dxa"/>
            <w:shd w:val="clear" w:color="auto" w:fill="auto"/>
            <w:tcMar>
              <w:top w:w="0" w:type="dxa"/>
              <w:left w:w="0" w:type="dxa"/>
              <w:bottom w:w="0" w:type="dxa"/>
              <w:right w:w="0" w:type="dxa"/>
            </w:tcMar>
            <w:vAlign w:val="center"/>
          </w:tcPr>
          <w:p w:rsidR="003477A5" w:rsidRDefault="00A67CBF">
            <w:pPr>
              <w:rPr>
                <w:rFonts w:ascii="Helvetica" w:hAnsi="Helvetica" w:cs="Helvetica"/>
                <w:color w:val="333333"/>
                <w:sz w:val="21"/>
                <w:szCs w:val="21"/>
              </w:rPr>
            </w:pPr>
            <w:r>
              <w:rPr>
                <w:rFonts w:ascii="Helvetica" w:hAnsi="Helvetica" w:cs="Helvetica"/>
                <w:color w:val="333333"/>
                <w:sz w:val="21"/>
                <w:szCs w:val="21"/>
              </w:rPr>
              <w:t>Agree</w:t>
            </w:r>
          </w:p>
        </w:tc>
      </w:tr>
      <w:tr w:rsidR="003477A5">
        <w:tc>
          <w:tcPr>
            <w:tcW w:w="426" w:type="dxa"/>
            <w:shd w:val="clear" w:color="auto" w:fill="auto"/>
            <w:tcMar>
              <w:top w:w="0" w:type="dxa"/>
              <w:left w:w="0" w:type="dxa"/>
              <w:bottom w:w="0" w:type="dxa"/>
              <w:right w:w="0" w:type="dxa"/>
            </w:tcMar>
          </w:tcPr>
          <w:p w:rsidR="003477A5" w:rsidRDefault="00A67CBF">
            <w:r>
              <w:rPr>
                <w:rFonts w:ascii="Helvetica" w:hAnsi="Helvetica" w:cs="Helvetica"/>
                <w:color w:val="333333"/>
                <w:sz w:val="21"/>
                <w:szCs w:val="21"/>
              </w:rPr>
              <w:t>  </w:t>
            </w:r>
          </w:p>
        </w:tc>
        <w:tc>
          <w:tcPr>
            <w:tcW w:w="1005" w:type="dxa"/>
            <w:shd w:val="clear" w:color="auto" w:fill="auto"/>
            <w:tcMar>
              <w:top w:w="0" w:type="dxa"/>
              <w:left w:w="0" w:type="dxa"/>
              <w:bottom w:w="0" w:type="dxa"/>
              <w:right w:w="0" w:type="dxa"/>
            </w:tcMar>
            <w:vAlign w:val="center"/>
          </w:tcPr>
          <w:p w:rsidR="003477A5" w:rsidRDefault="00A67CBF">
            <w:pPr>
              <w:rPr>
                <w:rFonts w:ascii="Helvetica" w:hAnsi="Helvetica" w:cs="Helvetica"/>
                <w:color w:val="333333"/>
                <w:sz w:val="21"/>
                <w:szCs w:val="21"/>
              </w:rPr>
            </w:pPr>
            <w:r>
              <w:rPr>
                <w:rFonts w:ascii="Helvetica" w:hAnsi="Helvetica" w:cs="Helvetica"/>
                <w:color w:val="333333"/>
                <w:sz w:val="21"/>
                <w:szCs w:val="21"/>
              </w:rPr>
              <w:t>Disagree</w:t>
            </w:r>
          </w:p>
        </w:tc>
      </w:tr>
      <w:tr w:rsidR="003477A5">
        <w:tc>
          <w:tcPr>
            <w:tcW w:w="426" w:type="dxa"/>
            <w:shd w:val="clear" w:color="auto" w:fill="auto"/>
            <w:tcMar>
              <w:top w:w="0" w:type="dxa"/>
              <w:left w:w="0" w:type="dxa"/>
              <w:bottom w:w="0" w:type="dxa"/>
              <w:right w:w="0" w:type="dxa"/>
            </w:tcMar>
          </w:tcPr>
          <w:p w:rsidR="003477A5" w:rsidRDefault="00A67CBF">
            <w:r>
              <w:rPr>
                <w:rFonts w:ascii="Helvetica" w:hAnsi="Helvetica" w:cs="Helvetica"/>
                <w:color w:val="333333"/>
                <w:sz w:val="21"/>
                <w:szCs w:val="21"/>
              </w:rPr>
              <w:t>X  </w:t>
            </w:r>
          </w:p>
        </w:tc>
        <w:tc>
          <w:tcPr>
            <w:tcW w:w="1005" w:type="dxa"/>
            <w:shd w:val="clear" w:color="auto" w:fill="auto"/>
            <w:tcMar>
              <w:top w:w="0" w:type="dxa"/>
              <w:left w:w="0" w:type="dxa"/>
              <w:bottom w:w="0" w:type="dxa"/>
              <w:right w:w="0" w:type="dxa"/>
            </w:tcMar>
            <w:vAlign w:val="center"/>
          </w:tcPr>
          <w:p w:rsidR="003477A5" w:rsidRDefault="00A67CBF">
            <w:pPr>
              <w:rPr>
                <w:rFonts w:ascii="Helvetica" w:hAnsi="Helvetica" w:cs="Helvetica"/>
                <w:color w:val="333333"/>
                <w:sz w:val="21"/>
                <w:szCs w:val="21"/>
              </w:rPr>
            </w:pPr>
            <w:r>
              <w:rPr>
                <w:rFonts w:ascii="Helvetica" w:hAnsi="Helvetica" w:cs="Helvetica"/>
                <w:color w:val="333333"/>
                <w:sz w:val="21"/>
                <w:szCs w:val="21"/>
              </w:rPr>
              <w:t>No opinion</w:t>
            </w:r>
          </w:p>
        </w:tc>
      </w:tr>
    </w:tbl>
    <w:p w:rsidR="003477A5" w:rsidRDefault="003477A5">
      <w:pPr>
        <w:rPr>
          <w:rFonts w:ascii="Helvetica" w:hAnsi="Helvetica" w:cs="Helvetica"/>
          <w:color w:val="333333"/>
          <w:sz w:val="21"/>
          <w:szCs w:val="21"/>
        </w:rPr>
      </w:pPr>
    </w:p>
    <w:p w:rsidR="003477A5" w:rsidRDefault="00A67CBF">
      <w:pPr>
        <w:rPr>
          <w:rFonts w:ascii="Helvetica" w:hAnsi="Helvetica" w:cs="Helvetica"/>
          <w:color w:val="333333"/>
          <w:sz w:val="21"/>
          <w:szCs w:val="21"/>
        </w:rPr>
      </w:pPr>
      <w:r>
        <w:rPr>
          <w:rFonts w:ascii="Helvetica" w:hAnsi="Helvetica" w:cs="Helvetica"/>
          <w:color w:val="333333"/>
          <w:sz w:val="21"/>
          <w:szCs w:val="21"/>
        </w:rPr>
        <w:t>Why?  </w:t>
      </w: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A67CBF">
            <w:pPr>
              <w:spacing w:after="240"/>
              <w:rPr>
                <w:rFonts w:ascii="Helvetica" w:hAnsi="Helvetica" w:cs="Helvetica"/>
                <w:color w:val="333333"/>
                <w:sz w:val="21"/>
                <w:szCs w:val="21"/>
              </w:rPr>
            </w:pPr>
            <w:r>
              <w:rPr>
                <w:rFonts w:ascii="Helvetica" w:hAnsi="Helvetica" w:cs="Helvetica"/>
                <w:color w:val="333333"/>
                <w:sz w:val="21"/>
                <w:szCs w:val="21"/>
              </w:rPr>
              <w:t> </w:t>
            </w:r>
          </w:p>
          <w:p w:rsidR="003477A5" w:rsidRDefault="00A67CBF">
            <w:pPr>
              <w:spacing w:after="240"/>
              <w:rPr>
                <w:rFonts w:ascii="Helvetica" w:hAnsi="Helvetica" w:cs="Helvetica"/>
                <w:color w:val="333333"/>
                <w:sz w:val="21"/>
                <w:szCs w:val="21"/>
              </w:rPr>
            </w:pPr>
            <w:r>
              <w:rPr>
                <w:rFonts w:ascii="Helvetica" w:hAnsi="Helvetica" w:cs="Helvetica"/>
                <w:color w:val="333333"/>
                <w:sz w:val="21"/>
                <w:szCs w:val="21"/>
              </w:rPr>
              <w:t>No comment</w:t>
            </w:r>
          </w:p>
        </w:tc>
      </w:tr>
    </w:tbl>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13. Do you agree or disagree with the option outlined above for transferring the existing Brighton-Southampton portion of the current Great Western Bristol – Salisbury – Southampton - Brighton service to the Thameslink, Southern and Great Northern franchise (or a successor franchise)? </w:t>
      </w:r>
    </w:p>
    <w:p w:rsidR="003477A5" w:rsidRDefault="003477A5">
      <w:pPr>
        <w:rPr>
          <w:rFonts w:ascii="Helvetica" w:hAnsi="Helvetica" w:cs="Helvetica"/>
          <w:color w:val="333333"/>
          <w:sz w:val="21"/>
          <w:szCs w:val="21"/>
        </w:rPr>
      </w:pPr>
    </w:p>
    <w:tbl>
      <w:tblPr>
        <w:tblW w:w="1431" w:type="dxa"/>
        <w:tblCellMar>
          <w:left w:w="10" w:type="dxa"/>
          <w:right w:w="10" w:type="dxa"/>
        </w:tblCellMar>
        <w:tblLook w:val="0000" w:firstRow="0" w:lastRow="0" w:firstColumn="0" w:lastColumn="0" w:noHBand="0" w:noVBand="0"/>
      </w:tblPr>
      <w:tblGrid>
        <w:gridCol w:w="426"/>
        <w:gridCol w:w="1005"/>
      </w:tblGrid>
      <w:tr w:rsidR="003477A5">
        <w:tc>
          <w:tcPr>
            <w:tcW w:w="426" w:type="dxa"/>
            <w:shd w:val="clear" w:color="auto" w:fill="auto"/>
            <w:tcMar>
              <w:top w:w="0" w:type="dxa"/>
              <w:left w:w="0" w:type="dxa"/>
              <w:bottom w:w="0" w:type="dxa"/>
              <w:right w:w="0" w:type="dxa"/>
            </w:tcMar>
          </w:tcPr>
          <w:p w:rsidR="003477A5" w:rsidRDefault="00A67CBF">
            <w:r>
              <w:rPr>
                <w:rFonts w:ascii="Helvetica" w:hAnsi="Helvetica" w:cs="Helvetica"/>
                <w:color w:val="333333"/>
                <w:sz w:val="21"/>
                <w:szCs w:val="21"/>
              </w:rPr>
              <w:t>  </w:t>
            </w:r>
          </w:p>
        </w:tc>
        <w:tc>
          <w:tcPr>
            <w:tcW w:w="1005" w:type="dxa"/>
            <w:shd w:val="clear" w:color="auto" w:fill="auto"/>
            <w:tcMar>
              <w:top w:w="0" w:type="dxa"/>
              <w:left w:w="0" w:type="dxa"/>
              <w:bottom w:w="0" w:type="dxa"/>
              <w:right w:w="0" w:type="dxa"/>
            </w:tcMar>
            <w:vAlign w:val="center"/>
          </w:tcPr>
          <w:p w:rsidR="003477A5" w:rsidRDefault="00A67CBF">
            <w:pPr>
              <w:rPr>
                <w:rFonts w:ascii="Helvetica" w:hAnsi="Helvetica" w:cs="Helvetica"/>
                <w:color w:val="333333"/>
                <w:sz w:val="21"/>
                <w:szCs w:val="21"/>
              </w:rPr>
            </w:pPr>
            <w:r>
              <w:rPr>
                <w:rFonts w:ascii="Helvetica" w:hAnsi="Helvetica" w:cs="Helvetica"/>
                <w:color w:val="333333"/>
                <w:sz w:val="21"/>
                <w:szCs w:val="21"/>
              </w:rPr>
              <w:t>Agree</w:t>
            </w:r>
          </w:p>
        </w:tc>
      </w:tr>
      <w:tr w:rsidR="003477A5">
        <w:tc>
          <w:tcPr>
            <w:tcW w:w="426" w:type="dxa"/>
            <w:shd w:val="clear" w:color="auto" w:fill="auto"/>
            <w:tcMar>
              <w:top w:w="0" w:type="dxa"/>
              <w:left w:w="0" w:type="dxa"/>
              <w:bottom w:w="0" w:type="dxa"/>
              <w:right w:w="0" w:type="dxa"/>
            </w:tcMar>
          </w:tcPr>
          <w:p w:rsidR="003477A5" w:rsidRDefault="00A67CBF">
            <w:r>
              <w:rPr>
                <w:rFonts w:ascii="Helvetica" w:hAnsi="Helvetica" w:cs="Helvetica"/>
                <w:color w:val="333333"/>
                <w:sz w:val="21"/>
                <w:szCs w:val="21"/>
              </w:rPr>
              <w:t>X  </w:t>
            </w:r>
          </w:p>
        </w:tc>
        <w:tc>
          <w:tcPr>
            <w:tcW w:w="1005" w:type="dxa"/>
            <w:shd w:val="clear" w:color="auto" w:fill="auto"/>
            <w:tcMar>
              <w:top w:w="0" w:type="dxa"/>
              <w:left w:w="0" w:type="dxa"/>
              <w:bottom w:w="0" w:type="dxa"/>
              <w:right w:w="0" w:type="dxa"/>
            </w:tcMar>
            <w:vAlign w:val="center"/>
          </w:tcPr>
          <w:p w:rsidR="003477A5" w:rsidRDefault="00A67CBF">
            <w:pPr>
              <w:rPr>
                <w:rFonts w:ascii="Helvetica" w:hAnsi="Helvetica" w:cs="Helvetica"/>
                <w:color w:val="333333"/>
                <w:sz w:val="21"/>
                <w:szCs w:val="21"/>
              </w:rPr>
            </w:pPr>
            <w:r>
              <w:rPr>
                <w:rFonts w:ascii="Helvetica" w:hAnsi="Helvetica" w:cs="Helvetica"/>
                <w:color w:val="333333"/>
                <w:sz w:val="21"/>
                <w:szCs w:val="21"/>
              </w:rPr>
              <w:t>Disagree</w:t>
            </w:r>
          </w:p>
        </w:tc>
      </w:tr>
      <w:tr w:rsidR="003477A5">
        <w:tc>
          <w:tcPr>
            <w:tcW w:w="426" w:type="dxa"/>
            <w:shd w:val="clear" w:color="auto" w:fill="auto"/>
            <w:tcMar>
              <w:top w:w="0" w:type="dxa"/>
              <w:left w:w="0" w:type="dxa"/>
              <w:bottom w:w="0" w:type="dxa"/>
              <w:right w:w="0" w:type="dxa"/>
            </w:tcMar>
          </w:tcPr>
          <w:p w:rsidR="003477A5" w:rsidRDefault="00A67CBF">
            <w:r>
              <w:rPr>
                <w:rFonts w:ascii="Helvetica" w:hAnsi="Helvetica" w:cs="Helvetica"/>
                <w:color w:val="333333"/>
                <w:sz w:val="21"/>
                <w:szCs w:val="21"/>
              </w:rPr>
              <w:t>  </w:t>
            </w:r>
          </w:p>
        </w:tc>
        <w:tc>
          <w:tcPr>
            <w:tcW w:w="1005" w:type="dxa"/>
            <w:shd w:val="clear" w:color="auto" w:fill="auto"/>
            <w:tcMar>
              <w:top w:w="0" w:type="dxa"/>
              <w:left w:w="0" w:type="dxa"/>
              <w:bottom w:w="0" w:type="dxa"/>
              <w:right w:w="0" w:type="dxa"/>
            </w:tcMar>
            <w:vAlign w:val="center"/>
          </w:tcPr>
          <w:p w:rsidR="003477A5" w:rsidRDefault="00A67CBF">
            <w:pPr>
              <w:rPr>
                <w:rFonts w:ascii="Helvetica" w:hAnsi="Helvetica" w:cs="Helvetica"/>
                <w:color w:val="333333"/>
                <w:sz w:val="21"/>
                <w:szCs w:val="21"/>
              </w:rPr>
            </w:pPr>
            <w:r>
              <w:rPr>
                <w:rFonts w:ascii="Helvetica" w:hAnsi="Helvetica" w:cs="Helvetica"/>
                <w:color w:val="333333"/>
                <w:sz w:val="21"/>
                <w:szCs w:val="21"/>
              </w:rPr>
              <w:t>No opinion</w:t>
            </w:r>
          </w:p>
        </w:tc>
      </w:tr>
    </w:tbl>
    <w:p w:rsidR="003477A5" w:rsidRDefault="003477A5">
      <w:pPr>
        <w:rPr>
          <w:rFonts w:ascii="Helvetica" w:hAnsi="Helvetica" w:cs="Helvetica"/>
          <w:color w:val="333333"/>
          <w:sz w:val="21"/>
          <w:szCs w:val="21"/>
        </w:rPr>
      </w:pPr>
    </w:p>
    <w:p w:rsidR="003477A5" w:rsidRDefault="00A67CBF">
      <w:pPr>
        <w:rPr>
          <w:rFonts w:ascii="Helvetica" w:hAnsi="Helvetica" w:cs="Helvetica"/>
          <w:color w:val="333333"/>
          <w:sz w:val="21"/>
          <w:szCs w:val="21"/>
        </w:rPr>
      </w:pPr>
      <w:r>
        <w:rPr>
          <w:rFonts w:ascii="Helvetica" w:hAnsi="Helvetica" w:cs="Helvetica"/>
          <w:color w:val="333333"/>
          <w:sz w:val="21"/>
          <w:szCs w:val="21"/>
        </w:rPr>
        <w:t>Why?  </w:t>
      </w: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3477A5">
            <w:pPr>
              <w:spacing w:after="240"/>
              <w:rPr>
                <w:rFonts w:ascii="Helvetica" w:hAnsi="Helvetica" w:cs="Helvetica"/>
                <w:color w:val="333333"/>
                <w:sz w:val="21"/>
                <w:szCs w:val="21"/>
              </w:rPr>
            </w:pPr>
          </w:p>
          <w:p w:rsidR="003477A5" w:rsidRDefault="00A67CBF">
            <w:pPr>
              <w:spacing w:after="240"/>
            </w:pPr>
            <w:r>
              <w:rPr>
                <w:rFonts w:ascii="Helvetica" w:hAnsi="Helvetica" w:cs="Helvetica"/>
                <w:color w:val="333333"/>
                <w:sz w:val="21"/>
                <w:szCs w:val="21"/>
              </w:rPr>
              <w:t xml:space="preserve">This issue was examined by Passenger Focus in research undertaken in connection with the aborted planned renewal in 2013 of the Great Western Franchise.  It showed an aggregate of 31% of passengers surveyed whilst using inter-regional services would have been unlikely to make the journey if there had been no direct services and if they had to change trains.  Resistance on this service was highest amongst business travellers, occasional travellers and, particularly, those aged 65+.  While this level of consumer resistance might be mitigated overall by carefully planned cross or same platform connections and the assistance of suitably trained staff, we consider that </w:t>
            </w:r>
            <w:r>
              <w:rPr>
                <w:rFonts w:ascii="Helvetica" w:hAnsi="Helvetica" w:cs="Helvetica"/>
                <w:b/>
                <w:color w:val="333333"/>
                <w:sz w:val="21"/>
                <w:szCs w:val="21"/>
              </w:rPr>
              <w:t>the particular (often elderly) market served by this service placed particular value of being able to make the journey without a change</w:t>
            </w:r>
            <w:r>
              <w:rPr>
                <w:rFonts w:ascii="Helvetica" w:hAnsi="Helvetica" w:cs="Helvetica"/>
                <w:color w:val="333333"/>
                <w:sz w:val="21"/>
                <w:szCs w:val="21"/>
              </w:rPr>
              <w:t>.  Indeed, we believe that, additionally, there is a good case for reintroduction of a daily through service between Brighton and Plymouth via Salisbury.</w:t>
            </w:r>
            <w:r>
              <w:rPr>
                <w:rFonts w:ascii="Helvetica" w:hAnsi="Helvetica" w:cs="Helvetica"/>
                <w:color w:val="333333"/>
                <w:sz w:val="21"/>
                <w:szCs w:val="21"/>
              </w:rPr>
              <w:br/>
            </w:r>
          </w:p>
          <w:p w:rsidR="003477A5" w:rsidRDefault="00A67CBF">
            <w:pPr>
              <w:spacing w:after="240"/>
            </w:pPr>
            <w:r>
              <w:rPr>
                <w:rFonts w:ascii="Helvetica" w:hAnsi="Helvetica" w:cs="Helvetica"/>
                <w:b/>
                <w:color w:val="333333"/>
                <w:sz w:val="21"/>
                <w:szCs w:val="21"/>
              </w:rPr>
              <w:t>There may be scope for improving (and rationalising) the service currently operated by Great Western on the corridor to Brig</w:t>
            </w:r>
            <w:r>
              <w:rPr>
                <w:rFonts w:ascii="Helvetica" w:hAnsi="Helvetica" w:cs="Helvetica"/>
                <w:color w:val="333333"/>
                <w:sz w:val="21"/>
                <w:szCs w:val="21"/>
              </w:rPr>
              <w:t>hton.  Existing trains arrive at Brighton at 0815 (Saturday)/0817 (Monday to Friday) and 1612 (Monday to Friday)/1615 (Saturday), departing Brighton at 0859 (Monday to Friday)/0900 (Saturday) and 1700 (Saturday)/1702 (Monday to Friday).  Passenger needs might be met better by a single return journey, departing Bristol Temple Meads after the morning peak and returning in time for the rolling stock to be used on local services originating in the Bristol area in the evening peak.</w:t>
            </w:r>
          </w:p>
        </w:tc>
      </w:tr>
    </w:tbl>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14. What other locations or routes do you think should be considered for: </w:t>
      </w:r>
    </w:p>
    <w:p w:rsidR="003477A5" w:rsidRDefault="003477A5">
      <w:pPr>
        <w:rPr>
          <w:rFonts w:ascii="Helvetica" w:hAnsi="Helvetica" w:cs="Helvetica"/>
          <w:color w:val="333333"/>
          <w:sz w:val="21"/>
          <w:szCs w:val="21"/>
        </w:rPr>
      </w:pPr>
    </w:p>
    <w:tbl>
      <w:tblPr>
        <w:tblW w:w="9026" w:type="dxa"/>
        <w:tblCellMar>
          <w:left w:w="10" w:type="dxa"/>
          <w:right w:w="10" w:type="dxa"/>
        </w:tblCellMar>
        <w:tblLook w:val="0000" w:firstRow="0" w:lastRow="0" w:firstColumn="0" w:lastColumn="0" w:noHBand="0" w:noVBand="0"/>
      </w:tblPr>
      <w:tblGrid>
        <w:gridCol w:w="1510"/>
        <w:gridCol w:w="7516"/>
      </w:tblGrid>
      <w:tr w:rsidR="003477A5">
        <w:tc>
          <w:tcPr>
            <w:tcW w:w="1510" w:type="dxa"/>
            <w:shd w:val="clear" w:color="auto" w:fill="auto"/>
            <w:tcMar>
              <w:top w:w="0" w:type="dxa"/>
              <w:left w:w="0" w:type="dxa"/>
              <w:bottom w:w="0" w:type="dxa"/>
              <w:right w:w="0" w:type="dxa"/>
            </w:tcMar>
            <w:vAlign w:val="center"/>
          </w:tcPr>
          <w:p w:rsidR="003477A5" w:rsidRDefault="00A67CBF">
            <w:pPr>
              <w:rPr>
                <w:rFonts w:ascii="Helvetica" w:hAnsi="Helvetica" w:cs="Helvetica"/>
                <w:color w:val="333333"/>
                <w:sz w:val="21"/>
                <w:szCs w:val="21"/>
              </w:rPr>
            </w:pPr>
            <w:r>
              <w:rPr>
                <w:rFonts w:ascii="Helvetica" w:hAnsi="Helvetica" w:cs="Helvetica"/>
                <w:color w:val="333333"/>
                <w:sz w:val="21"/>
                <w:szCs w:val="21"/>
              </w:rPr>
              <w:t>adding to the franchise?  </w:t>
            </w:r>
          </w:p>
        </w:tc>
        <w:tc>
          <w:tcPr>
            <w:tcW w:w="7516" w:type="dxa"/>
            <w:shd w:val="clear" w:color="auto" w:fill="auto"/>
            <w:tcMar>
              <w:top w:w="0" w:type="dxa"/>
              <w:left w:w="0" w:type="dxa"/>
              <w:bottom w:w="75" w:type="dxa"/>
              <w:right w:w="0" w:type="dxa"/>
            </w:tcMar>
            <w:vAlign w:val="center"/>
          </w:tcPr>
          <w:p w:rsidR="003477A5" w:rsidRDefault="003477A5"/>
          <w:tbl>
            <w:tblPr>
              <w:tblW w:w="7500" w:type="dxa"/>
              <w:tblCellMar>
                <w:left w:w="10" w:type="dxa"/>
                <w:right w:w="10" w:type="dxa"/>
              </w:tblCellMar>
              <w:tblLook w:val="0000" w:firstRow="0" w:lastRow="0" w:firstColumn="0" w:lastColumn="0" w:noHBand="0" w:noVBand="0"/>
            </w:tblPr>
            <w:tblGrid>
              <w:gridCol w:w="7500"/>
            </w:tblGrid>
            <w:tr w:rsidR="003477A5">
              <w:tc>
                <w:tcPr>
                  <w:tcW w:w="7500"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3477A5">
                  <w:pPr>
                    <w:pStyle w:val="ListParagraph"/>
                    <w:ind w:left="360"/>
                    <w:rPr>
                      <w:rFonts w:ascii="Helvetica" w:hAnsi="Helvetica" w:cs="Helvetica"/>
                      <w:color w:val="333333"/>
                      <w:sz w:val="21"/>
                      <w:szCs w:val="21"/>
                    </w:rPr>
                  </w:pPr>
                </w:p>
                <w:p w:rsidR="003477A5" w:rsidRDefault="00A67CBF">
                  <w:pPr>
                    <w:pStyle w:val="ListParagraph"/>
                    <w:numPr>
                      <w:ilvl w:val="0"/>
                      <w:numId w:val="9"/>
                    </w:numPr>
                  </w:pPr>
                  <w:r>
                    <w:rPr>
                      <w:rFonts w:ascii="Helvetica" w:hAnsi="Helvetica" w:cs="Helvetica"/>
                      <w:b/>
                      <w:color w:val="333333"/>
                      <w:sz w:val="21"/>
                      <w:szCs w:val="21"/>
                    </w:rPr>
                    <w:t>Salisbury-Southampton Central-Southampton Airport</w:t>
                  </w:r>
                  <w:r>
                    <w:rPr>
                      <w:rFonts w:ascii="Helvetica" w:hAnsi="Helvetica" w:cs="Helvetica"/>
                      <w:color w:val="333333"/>
                      <w:sz w:val="21"/>
                      <w:szCs w:val="21"/>
                    </w:rPr>
                    <w:t xml:space="preserve"> (operated by SWR)</w:t>
                  </w:r>
                </w:p>
                <w:p w:rsidR="003477A5" w:rsidRDefault="00A67CBF">
                  <w:pPr>
                    <w:pStyle w:val="ListParagraph"/>
                    <w:numPr>
                      <w:ilvl w:val="0"/>
                      <w:numId w:val="9"/>
                    </w:numPr>
                  </w:pPr>
                  <w:r>
                    <w:rPr>
                      <w:rFonts w:ascii="Helvetica" w:hAnsi="Helvetica" w:cs="Helvetica"/>
                      <w:color w:val="333333"/>
                      <w:sz w:val="21"/>
                      <w:szCs w:val="21"/>
                    </w:rPr>
                    <w:t xml:space="preserve">Inter-regional (CrossCountry) services between </w:t>
                  </w:r>
                  <w:r>
                    <w:rPr>
                      <w:rFonts w:ascii="Helvetica" w:hAnsi="Helvetica" w:cs="Helvetica"/>
                      <w:b/>
                      <w:color w:val="333333"/>
                      <w:sz w:val="21"/>
                      <w:szCs w:val="21"/>
                    </w:rPr>
                    <w:t>the South West and the West Midlands and North West</w:t>
                  </w:r>
                </w:p>
                <w:p w:rsidR="003477A5" w:rsidRDefault="00A67CBF">
                  <w:pPr>
                    <w:pStyle w:val="ListParagraph"/>
                    <w:numPr>
                      <w:ilvl w:val="0"/>
                      <w:numId w:val="9"/>
                    </w:numPr>
                    <w:rPr>
                      <w:rFonts w:ascii="Helvetica" w:hAnsi="Helvetica" w:cs="Helvetica"/>
                      <w:b/>
                      <w:color w:val="333333"/>
                      <w:sz w:val="21"/>
                      <w:szCs w:val="21"/>
                    </w:rPr>
                  </w:pPr>
                  <w:r>
                    <w:rPr>
                      <w:rFonts w:ascii="Helvetica" w:hAnsi="Helvetica" w:cs="Helvetica"/>
                      <w:b/>
                      <w:color w:val="333333"/>
                      <w:sz w:val="21"/>
                      <w:szCs w:val="21"/>
                    </w:rPr>
                    <w:t>Bristol-Oxford-Milton Keynes/Cambridge</w:t>
                  </w:r>
                </w:p>
                <w:p w:rsidR="003477A5" w:rsidRDefault="00A67CBF">
                  <w:pPr>
                    <w:pStyle w:val="ListParagraph"/>
                    <w:numPr>
                      <w:ilvl w:val="0"/>
                      <w:numId w:val="9"/>
                    </w:numPr>
                  </w:pPr>
                  <w:r>
                    <w:rPr>
                      <w:rFonts w:ascii="Helvetica" w:hAnsi="Helvetica" w:cs="Helvetica"/>
                      <w:b/>
                      <w:color w:val="333333"/>
                      <w:sz w:val="21"/>
                      <w:szCs w:val="21"/>
                    </w:rPr>
                    <w:t>Extension of Oxford-Banbury services to Stratford upon Avon and to Reading and London</w:t>
                  </w:r>
                  <w:r>
                    <w:rPr>
                      <w:rFonts w:ascii="Helvetica" w:hAnsi="Helvetica" w:cs="Helvetica"/>
                      <w:color w:val="333333"/>
                      <w:sz w:val="21"/>
                      <w:szCs w:val="21"/>
                    </w:rPr>
                    <w:t>, subsuming the present service operated by Chiltern.</w:t>
                  </w:r>
                </w:p>
                <w:p w:rsidR="003477A5" w:rsidRDefault="00A67CBF">
                  <w:pPr>
                    <w:pStyle w:val="ListParagraph"/>
                    <w:numPr>
                      <w:ilvl w:val="0"/>
                      <w:numId w:val="9"/>
                    </w:numPr>
                  </w:pPr>
                  <w:r>
                    <w:rPr>
                      <w:rFonts w:ascii="Helvetica" w:hAnsi="Helvetica" w:cs="Helvetica"/>
                      <w:color w:val="333333"/>
                      <w:sz w:val="21"/>
                      <w:szCs w:val="21"/>
                    </w:rPr>
                    <w:t xml:space="preserve">Maintenance of existing through services provided by GWR to </w:t>
                  </w:r>
                  <w:r>
                    <w:rPr>
                      <w:rFonts w:ascii="Helvetica" w:hAnsi="Helvetica" w:cs="Helvetica"/>
                      <w:b/>
                      <w:color w:val="333333"/>
                      <w:sz w:val="21"/>
                      <w:szCs w:val="21"/>
                    </w:rPr>
                    <w:t>destinations west of Swansea</w:t>
                  </w:r>
                  <w:r>
                    <w:rPr>
                      <w:rFonts w:ascii="Helvetica" w:hAnsi="Helvetica" w:cs="Helvetica"/>
                      <w:color w:val="333333"/>
                      <w:sz w:val="21"/>
                      <w:szCs w:val="21"/>
                    </w:rPr>
                    <w:t xml:space="preserve"> (which are deleted from the map illustrating a franchise split).</w:t>
                  </w:r>
                </w:p>
                <w:p w:rsidR="003477A5" w:rsidRDefault="003477A5">
                  <w:pPr>
                    <w:pStyle w:val="ListParagraph"/>
                    <w:ind w:left="360"/>
                    <w:rPr>
                      <w:rFonts w:ascii="Helvetica" w:hAnsi="Helvetica" w:cs="Helvetica"/>
                      <w:color w:val="333333"/>
                      <w:sz w:val="21"/>
                      <w:szCs w:val="21"/>
                    </w:rPr>
                  </w:pPr>
                </w:p>
              </w:tc>
            </w:tr>
          </w:tbl>
          <w:p w:rsidR="003477A5" w:rsidRDefault="003477A5">
            <w:pPr>
              <w:rPr>
                <w:rFonts w:ascii="Helvetica" w:hAnsi="Helvetica" w:cs="Helvetica"/>
                <w:color w:val="333333"/>
                <w:sz w:val="21"/>
                <w:szCs w:val="21"/>
              </w:rPr>
            </w:pPr>
          </w:p>
        </w:tc>
      </w:tr>
      <w:tr w:rsidR="003477A5">
        <w:tc>
          <w:tcPr>
            <w:tcW w:w="1510" w:type="dxa"/>
            <w:shd w:val="clear" w:color="auto" w:fill="auto"/>
            <w:tcMar>
              <w:top w:w="0" w:type="dxa"/>
              <w:left w:w="0" w:type="dxa"/>
              <w:bottom w:w="0" w:type="dxa"/>
              <w:right w:w="0" w:type="dxa"/>
            </w:tcMar>
            <w:vAlign w:val="center"/>
          </w:tcPr>
          <w:p w:rsidR="003477A5" w:rsidRDefault="00A67CBF">
            <w:pPr>
              <w:rPr>
                <w:rFonts w:ascii="Helvetica" w:hAnsi="Helvetica" w:cs="Helvetica"/>
                <w:color w:val="333333"/>
                <w:sz w:val="21"/>
                <w:szCs w:val="21"/>
              </w:rPr>
            </w:pPr>
            <w:r>
              <w:rPr>
                <w:rFonts w:ascii="Helvetica" w:hAnsi="Helvetica" w:cs="Helvetica"/>
                <w:color w:val="333333"/>
                <w:sz w:val="21"/>
                <w:szCs w:val="21"/>
              </w:rPr>
              <w:t>transferring to another franchise?  </w:t>
            </w:r>
          </w:p>
        </w:tc>
        <w:tc>
          <w:tcPr>
            <w:tcW w:w="7516" w:type="dxa"/>
            <w:shd w:val="clear" w:color="auto" w:fill="auto"/>
            <w:tcMar>
              <w:top w:w="0" w:type="dxa"/>
              <w:left w:w="0" w:type="dxa"/>
              <w:bottom w:w="75" w:type="dxa"/>
              <w:right w:w="0" w:type="dxa"/>
            </w:tcMar>
            <w:vAlign w:val="center"/>
          </w:tcPr>
          <w:tbl>
            <w:tblPr>
              <w:tblW w:w="7500" w:type="dxa"/>
              <w:tblCellMar>
                <w:left w:w="10" w:type="dxa"/>
                <w:right w:w="10" w:type="dxa"/>
              </w:tblCellMar>
              <w:tblLook w:val="0000" w:firstRow="0" w:lastRow="0" w:firstColumn="0" w:lastColumn="0" w:noHBand="0" w:noVBand="0"/>
            </w:tblPr>
            <w:tblGrid>
              <w:gridCol w:w="7500"/>
            </w:tblGrid>
            <w:tr w:rsidR="003477A5">
              <w:tc>
                <w:tcPr>
                  <w:tcW w:w="7500"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A67CBF">
                  <w:pPr>
                    <w:pStyle w:val="ListParagraph"/>
                    <w:ind w:left="360"/>
                    <w:rPr>
                      <w:rFonts w:ascii="Helvetica" w:hAnsi="Helvetica" w:cs="Helvetica"/>
                      <w:color w:val="333333"/>
                      <w:sz w:val="21"/>
                      <w:szCs w:val="21"/>
                    </w:rPr>
                  </w:pPr>
                  <w:r>
                    <w:rPr>
                      <w:rFonts w:ascii="Helvetica" w:hAnsi="Helvetica" w:cs="Helvetica"/>
                      <w:color w:val="333333"/>
                      <w:sz w:val="21"/>
                      <w:szCs w:val="21"/>
                    </w:rPr>
                    <w:t>n.a.</w:t>
                  </w:r>
                </w:p>
              </w:tc>
            </w:tr>
          </w:tbl>
          <w:p w:rsidR="003477A5" w:rsidRDefault="003477A5">
            <w:pPr>
              <w:rPr>
                <w:rFonts w:ascii="Helvetica" w:hAnsi="Helvetica" w:cs="Helvetica"/>
                <w:color w:val="333333"/>
                <w:sz w:val="21"/>
                <w:szCs w:val="21"/>
              </w:rPr>
            </w:pPr>
          </w:p>
        </w:tc>
      </w:tr>
    </w:tbl>
    <w:p w:rsidR="003477A5" w:rsidRDefault="003477A5">
      <w:pPr>
        <w:rPr>
          <w:rFonts w:ascii="Helvetica" w:hAnsi="Helvetica" w:cs="Helvetica"/>
          <w:color w:val="333333"/>
          <w:sz w:val="21"/>
          <w:szCs w:val="21"/>
        </w:rPr>
      </w:pPr>
    </w:p>
    <w:p w:rsidR="003477A5" w:rsidRDefault="00A67CBF">
      <w:pPr>
        <w:rPr>
          <w:rFonts w:ascii="Helvetica" w:hAnsi="Helvetica" w:cs="Helvetica"/>
          <w:color w:val="333333"/>
          <w:sz w:val="21"/>
          <w:szCs w:val="21"/>
        </w:rPr>
      </w:pPr>
      <w:r>
        <w:rPr>
          <w:rFonts w:ascii="Helvetica" w:hAnsi="Helvetica" w:cs="Helvetica"/>
          <w:color w:val="333333"/>
          <w:sz w:val="21"/>
          <w:szCs w:val="21"/>
        </w:rPr>
        <w:t>Give your reasons.  </w:t>
      </w: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3477A5">
            <w:pPr>
              <w:spacing w:after="240"/>
            </w:pPr>
          </w:p>
          <w:p w:rsidR="003477A5" w:rsidRDefault="00A67CBF">
            <w:pPr>
              <w:pStyle w:val="ListParagraph"/>
              <w:numPr>
                <w:ilvl w:val="0"/>
                <w:numId w:val="10"/>
              </w:numPr>
              <w:spacing w:after="240"/>
            </w:pPr>
            <w:r>
              <w:rPr>
                <w:rFonts w:ascii="Helvetica" w:hAnsi="Helvetica" w:cs="Helvetica"/>
                <w:color w:val="333333"/>
                <w:sz w:val="21"/>
                <w:szCs w:val="21"/>
              </w:rPr>
              <w:t xml:space="preserve">There are strong market and fleet utilisation grounds for </w:t>
            </w:r>
            <w:r>
              <w:rPr>
                <w:rFonts w:ascii="Helvetica" w:hAnsi="Helvetica" w:cs="Helvetica"/>
                <w:b/>
                <w:color w:val="333333"/>
                <w:sz w:val="21"/>
                <w:szCs w:val="21"/>
              </w:rPr>
              <w:t>integrating the Three Rivers (Salisbury-Southampton) service with the Swindon-Westbury service</w:t>
            </w:r>
            <w:r>
              <w:rPr>
                <w:rFonts w:ascii="Helvetica" w:hAnsi="Helvetica" w:cs="Helvetica"/>
                <w:color w:val="333333"/>
                <w:sz w:val="21"/>
                <w:szCs w:val="21"/>
              </w:rPr>
              <w:t xml:space="preserve"> it would be possible, with minimal additional resources, to provide a much needed north-south link between the Wiltshire growth crescent and Southampton, opening up access to Southampton Airport Parkway (which for many in Wiltshire and Hampshire is the most convenient airport). </w:t>
            </w:r>
          </w:p>
          <w:p w:rsidR="003477A5" w:rsidRDefault="00A67CBF">
            <w:pPr>
              <w:pStyle w:val="ListParagraph"/>
              <w:numPr>
                <w:ilvl w:val="0"/>
                <w:numId w:val="10"/>
              </w:numPr>
              <w:spacing w:after="240"/>
            </w:pPr>
            <w:r>
              <w:rPr>
                <w:rFonts w:ascii="Helvetica" w:hAnsi="Helvetica" w:cs="Helvetica"/>
                <w:color w:val="333333"/>
                <w:sz w:val="21"/>
                <w:szCs w:val="21"/>
              </w:rPr>
              <w:t xml:space="preserve">The exponential increase in demand for fast, high frequency intercity links between the South West and the West Midlands and North West should be accommodated </w:t>
            </w:r>
            <w:r>
              <w:rPr>
                <w:rFonts w:ascii="Helvetica" w:hAnsi="Helvetica" w:cs="Helvetica"/>
                <w:b/>
                <w:color w:val="333333"/>
                <w:sz w:val="21"/>
                <w:szCs w:val="21"/>
              </w:rPr>
              <w:t>by integrating the timetabling of the existing CrossCountry services with those for the Great Western franchise throughout the Penzance-Cheltenham corridor</w:t>
            </w:r>
            <w:r>
              <w:rPr>
                <w:rFonts w:ascii="Helvetica" w:hAnsi="Helvetica" w:cs="Helvetica"/>
                <w:color w:val="333333"/>
                <w:sz w:val="21"/>
                <w:szCs w:val="21"/>
              </w:rPr>
              <w:t>, at the same time enabling recast of the fast services on the Bristol-Exeter corridor to provide a clock-face service of two trains per hour.</w:t>
            </w:r>
          </w:p>
          <w:p w:rsidR="003477A5" w:rsidRDefault="00A67CBF">
            <w:pPr>
              <w:pStyle w:val="ListParagraph"/>
              <w:numPr>
                <w:ilvl w:val="0"/>
                <w:numId w:val="10"/>
              </w:numPr>
              <w:spacing w:after="240"/>
            </w:pPr>
            <w:r>
              <w:rPr>
                <w:rFonts w:ascii="Helvetica" w:hAnsi="Helvetica" w:cs="Helvetica"/>
                <w:color w:val="333333"/>
                <w:sz w:val="21"/>
                <w:szCs w:val="21"/>
              </w:rPr>
              <w:t xml:space="preserve">Reinstatement and development of former </w:t>
            </w:r>
            <w:r>
              <w:rPr>
                <w:rFonts w:ascii="Helvetica" w:hAnsi="Helvetica" w:cs="Helvetica"/>
                <w:b/>
                <w:color w:val="333333"/>
                <w:sz w:val="21"/>
                <w:szCs w:val="21"/>
              </w:rPr>
              <w:t>Bristol-Oxford hourly service, possibly in connection with the roll-out of East West Rail</w:t>
            </w:r>
            <w:r>
              <w:rPr>
                <w:rFonts w:ascii="Helvetica" w:hAnsi="Helvetica" w:cs="Helvetica"/>
                <w:color w:val="333333"/>
                <w:sz w:val="21"/>
                <w:szCs w:val="21"/>
              </w:rPr>
              <w:t xml:space="preserve"> (EWR). Connectivity between the significant and fast expanding conurbations on this route is poor and the relevant strategic road network inadequate.  Access to CrossCountry services north from Oxford requires intending passengers from the South West to double-back from Reading.  The service could be relevant to long-advocated and well-developed proposals for new stations at Wantage &amp; Grove, Wootton Bassett and Corsham (the latter two forming part of the Swindon-M4 Growth Zone.  SLC Rail has identified £38.7m as the GVA of a twice-hourly service.</w:t>
            </w:r>
          </w:p>
          <w:p w:rsidR="003477A5" w:rsidRDefault="00A67CBF">
            <w:pPr>
              <w:pStyle w:val="ListParagraph"/>
              <w:numPr>
                <w:ilvl w:val="0"/>
                <w:numId w:val="10"/>
              </w:numPr>
              <w:spacing w:after="240"/>
            </w:pPr>
            <w:r>
              <w:rPr>
                <w:rFonts w:ascii="Helvetica" w:hAnsi="Helvetica" w:cs="Helvetica"/>
                <w:b/>
                <w:color w:val="333333"/>
                <w:sz w:val="21"/>
                <w:szCs w:val="21"/>
              </w:rPr>
              <w:t>Stratford upon Avon, Oxford and Slough (for Windsor) are world-class international tourist destinations</w:t>
            </w:r>
            <w:r>
              <w:rPr>
                <w:rFonts w:ascii="Helvetica" w:hAnsi="Helvetica" w:cs="Helvetica"/>
                <w:color w:val="333333"/>
                <w:sz w:val="21"/>
                <w:szCs w:val="21"/>
              </w:rPr>
              <w:t>. It would be sensible to enable integration with the Oxford-Banbury service and facilitation of connectivity with Reading (with links to Heathrow and Gatwick airports) and London Paddington (with its Elizabeth Line, Heathrow Express and multiple Transport for London links.</w:t>
            </w:r>
          </w:p>
        </w:tc>
      </w:tr>
    </w:tbl>
    <w:p w:rsidR="003477A5" w:rsidRDefault="003477A5">
      <w:pPr>
        <w:rPr>
          <w:rFonts w:ascii="Helvetica" w:hAnsi="Helvetica" w:cs="Helvetica"/>
          <w:b/>
          <w:bCs/>
          <w:color w:val="333333"/>
          <w:sz w:val="36"/>
          <w:szCs w:val="36"/>
        </w:rPr>
      </w:pPr>
    </w:p>
    <w:p w:rsidR="003477A5" w:rsidRDefault="00A67CBF">
      <w:pPr>
        <w:rPr>
          <w:rFonts w:ascii="Helvetica" w:hAnsi="Helvetica" w:cs="Helvetica"/>
          <w:b/>
          <w:bCs/>
          <w:color w:val="333333"/>
          <w:sz w:val="36"/>
          <w:szCs w:val="36"/>
        </w:rPr>
      </w:pPr>
      <w:r>
        <w:rPr>
          <w:rFonts w:ascii="Helvetica" w:hAnsi="Helvetica" w:cs="Helvetica"/>
          <w:b/>
          <w:bCs/>
          <w:color w:val="333333"/>
          <w:sz w:val="36"/>
          <w:szCs w:val="36"/>
        </w:rPr>
        <w:t xml:space="preserve">8. Collaboration </w:t>
      </w:r>
    </w:p>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rPr>
          <w:rFonts w:ascii="Helvetica" w:hAnsi="Helvetica" w:cs="Helvetica"/>
          <w:bCs/>
          <w:color w:val="333333"/>
          <w:sz w:val="21"/>
          <w:szCs w:val="21"/>
        </w:rPr>
      </w:pPr>
      <w:r>
        <w:rPr>
          <w:rFonts w:ascii="Helvetica" w:hAnsi="Helvetica" w:cs="Helvetica"/>
          <w:bCs/>
          <w:color w:val="333333"/>
          <w:sz w:val="21"/>
          <w:szCs w:val="21"/>
        </w:rPr>
        <w:t>Close collaboration between Network Rail and franchise operators is critical to providing a safe and reliable service for passengers. The current franchisee and Network Rail’s Western Route have already made significant efforts in this direction, including through their Alliance Framework Agreement, and setting up the Western Route Supervisory Board, comprised of Network Rail and representatives from the train operators on the route, and a representative from Transport Focus.</w:t>
      </w:r>
      <w:r>
        <w:rPr>
          <w:rFonts w:ascii="Helvetica" w:hAnsi="Helvetica" w:cs="Helvetica"/>
          <w:bCs/>
          <w:color w:val="333333"/>
          <w:sz w:val="21"/>
          <w:szCs w:val="21"/>
        </w:rPr>
        <w:br/>
      </w:r>
      <w:r>
        <w:rPr>
          <w:rFonts w:ascii="Helvetica" w:hAnsi="Helvetica" w:cs="Helvetica"/>
          <w:bCs/>
          <w:color w:val="333333"/>
          <w:sz w:val="21"/>
          <w:szCs w:val="21"/>
        </w:rPr>
        <w:br/>
        <w:t xml:space="preserve">Important aspects of collaboration between Network Rail and franchise operators include: </w:t>
      </w:r>
    </w:p>
    <w:tbl>
      <w:tblPr>
        <w:tblW w:w="9026" w:type="dxa"/>
        <w:tblCellMar>
          <w:left w:w="10" w:type="dxa"/>
          <w:right w:w="10" w:type="dxa"/>
        </w:tblCellMar>
        <w:tblLook w:val="0000" w:firstRow="0" w:lastRow="0" w:firstColumn="0" w:lastColumn="0" w:noHBand="0" w:noVBand="0"/>
      </w:tblPr>
      <w:tblGrid>
        <w:gridCol w:w="9026"/>
      </w:tblGrid>
      <w:tr w:rsidR="003477A5">
        <w:tc>
          <w:tcPr>
            <w:tcW w:w="9026" w:type="dxa"/>
            <w:shd w:val="clear" w:color="auto" w:fill="auto"/>
            <w:tcMar>
              <w:top w:w="0" w:type="dxa"/>
              <w:left w:w="0" w:type="dxa"/>
              <w:bottom w:w="0" w:type="dxa"/>
              <w:right w:w="0" w:type="dxa"/>
            </w:tcMar>
          </w:tcPr>
          <w:p w:rsidR="003477A5" w:rsidRDefault="00A67CBF">
            <w:pPr>
              <w:pStyle w:val="ListParagraph"/>
              <w:numPr>
                <w:ilvl w:val="0"/>
                <w:numId w:val="11"/>
              </w:numPr>
              <w:spacing w:after="240"/>
              <w:rPr>
                <w:rFonts w:ascii="Helvetica" w:hAnsi="Helvetica" w:cs="Helvetica"/>
                <w:color w:val="333333"/>
                <w:sz w:val="21"/>
                <w:szCs w:val="21"/>
              </w:rPr>
            </w:pPr>
            <w:r>
              <w:rPr>
                <w:rFonts w:ascii="Helvetica" w:hAnsi="Helvetica" w:cs="Helvetica"/>
                <w:color w:val="333333"/>
                <w:sz w:val="21"/>
                <w:szCs w:val="21"/>
              </w:rPr>
              <w:t>day-to-day operations, where collaboration helps smooth operation of the railway.  This is  particularly important during disruptions, in order to provide clear and accurate information to passengers  and to restore services as quickly as possible to minimise disruption</w:t>
            </w:r>
          </w:p>
        </w:tc>
      </w:tr>
      <w:tr w:rsidR="003477A5">
        <w:tc>
          <w:tcPr>
            <w:tcW w:w="9026" w:type="dxa"/>
            <w:shd w:val="clear" w:color="auto" w:fill="auto"/>
            <w:tcMar>
              <w:top w:w="0" w:type="dxa"/>
              <w:left w:w="0" w:type="dxa"/>
              <w:bottom w:w="0" w:type="dxa"/>
              <w:right w:w="0" w:type="dxa"/>
            </w:tcMar>
          </w:tcPr>
          <w:p w:rsidR="003477A5" w:rsidRDefault="00A67CBF">
            <w:pPr>
              <w:pStyle w:val="ListParagraph"/>
              <w:numPr>
                <w:ilvl w:val="0"/>
                <w:numId w:val="11"/>
              </w:numPr>
              <w:spacing w:after="240"/>
              <w:rPr>
                <w:rFonts w:ascii="Helvetica" w:hAnsi="Helvetica" w:cs="Helvetica"/>
                <w:color w:val="333333"/>
                <w:sz w:val="21"/>
                <w:szCs w:val="21"/>
              </w:rPr>
            </w:pPr>
            <w:r>
              <w:rPr>
                <w:rFonts w:ascii="Helvetica" w:hAnsi="Helvetica" w:cs="Helvetica"/>
                <w:color w:val="333333"/>
                <w:sz w:val="21"/>
                <w:szCs w:val="21"/>
              </w:rPr>
              <w:t>alignment of objectives and targets between the operator and Network Rail, e.g. on punctuality targets</w:t>
            </w:r>
          </w:p>
        </w:tc>
      </w:tr>
      <w:tr w:rsidR="003477A5">
        <w:tc>
          <w:tcPr>
            <w:tcW w:w="9026" w:type="dxa"/>
            <w:shd w:val="clear" w:color="auto" w:fill="auto"/>
            <w:tcMar>
              <w:top w:w="0" w:type="dxa"/>
              <w:left w:w="0" w:type="dxa"/>
              <w:bottom w:w="0" w:type="dxa"/>
              <w:right w:w="0" w:type="dxa"/>
            </w:tcMar>
          </w:tcPr>
          <w:p w:rsidR="003477A5" w:rsidRDefault="00A67CBF">
            <w:pPr>
              <w:pStyle w:val="ListParagraph"/>
              <w:numPr>
                <w:ilvl w:val="0"/>
                <w:numId w:val="11"/>
              </w:numPr>
              <w:rPr>
                <w:rFonts w:ascii="Helvetica" w:hAnsi="Helvetica" w:cs="Helvetica"/>
                <w:color w:val="333333"/>
                <w:sz w:val="21"/>
                <w:szCs w:val="21"/>
              </w:rPr>
            </w:pPr>
            <w:r>
              <w:rPr>
                <w:rFonts w:ascii="Helvetica" w:hAnsi="Helvetica" w:cs="Helvetica"/>
                <w:color w:val="333333"/>
                <w:sz w:val="21"/>
                <w:szCs w:val="21"/>
              </w:rPr>
              <w:t>maintaining and improving the network:  Network Rail needs access to the network to carry out maintenance and improvement work, meaning that there are times when passenger services cannot operate, or are reduced in frequency.  Current industry mechanisms for agreeing this access can result in opposing incentives for Network Rail and passenger operators.  Collaboration can allow better ‘whole industry’ decisions to be made, eg cutting back last services on some days of the week when demand is low to allow later services to operate on other days when demand for late-evening services is higher.</w:t>
            </w:r>
          </w:p>
        </w:tc>
      </w:tr>
      <w:tr w:rsidR="003477A5">
        <w:tc>
          <w:tcPr>
            <w:tcW w:w="9026" w:type="dxa"/>
            <w:shd w:val="clear" w:color="auto" w:fill="auto"/>
            <w:tcMar>
              <w:top w:w="0" w:type="dxa"/>
              <w:left w:w="0" w:type="dxa"/>
              <w:bottom w:w="0" w:type="dxa"/>
              <w:right w:w="0" w:type="dxa"/>
            </w:tcMar>
          </w:tcPr>
          <w:p w:rsidR="003477A5" w:rsidRDefault="00A67CBF">
            <w:pPr>
              <w:pStyle w:val="ListParagraph"/>
              <w:numPr>
                <w:ilvl w:val="0"/>
                <w:numId w:val="11"/>
              </w:numPr>
              <w:spacing w:before="300" w:after="300"/>
              <w:rPr>
                <w:rFonts w:ascii="Helvetica" w:hAnsi="Helvetica" w:cs="Helvetica"/>
                <w:color w:val="333333"/>
                <w:sz w:val="21"/>
                <w:szCs w:val="21"/>
              </w:rPr>
            </w:pPr>
            <w:r>
              <w:rPr>
                <w:rFonts w:ascii="Helvetica" w:hAnsi="Helvetica" w:cs="Helvetica"/>
                <w:color w:val="333333"/>
                <w:sz w:val="21"/>
                <w:szCs w:val="21"/>
              </w:rPr>
              <w:t>planning and delivery of major enhancement schemes:  Many more complex rail upgrade schemes require a combination of changes to the infrastructure, usually planned and carried out by Network Rail, and changes to the train service, which are the responsibility of the franchisee.  Successful delivery depends on integrating these aspects throughout the enhancement scheme.  Managing these interfaces in major enhancements can be challenging, especially where multiple organisations are involved, and any changes to one aspect of the project can have significant consequences for others.  Successful delivery is aided by having a single party with overall accountability for achieving the intended outcomes of such schemes.</w:t>
            </w:r>
          </w:p>
        </w:tc>
      </w:tr>
    </w:tbl>
    <w:p w:rsidR="003477A5" w:rsidRDefault="00A67CBF">
      <w:r>
        <w:rPr>
          <w:rFonts w:ascii="Helvetica" w:hAnsi="Helvetica" w:cs="Helvetica"/>
          <w:bCs/>
          <w:color w:val="333333"/>
          <w:sz w:val="21"/>
          <w:szCs w:val="21"/>
        </w:rPr>
        <w:t>We will expect the next Great Western franchise to build further on the existing collaboration with Network Rail, which could include a stronger joint partnership approach to developing and designing future train service and infrastructure enhancement schemes. </w:t>
      </w:r>
    </w:p>
    <w:p w:rsidR="003477A5" w:rsidRDefault="003477A5">
      <w:pPr>
        <w:rPr>
          <w:rFonts w:ascii="Helvetica" w:hAnsi="Helvetica" w:cs="Helvetica"/>
          <w:bCs/>
          <w:color w:val="333333"/>
          <w:sz w:val="21"/>
          <w:szCs w:val="21"/>
        </w:rPr>
      </w:pPr>
    </w:p>
    <w:p w:rsidR="003477A5" w:rsidRDefault="003477A5">
      <w:pPr>
        <w:rPr>
          <w:rFonts w:ascii="Helvetica" w:hAnsi="Helvetica" w:cs="Helvetica"/>
          <w:bCs/>
          <w:color w:val="333333"/>
          <w:sz w:val="21"/>
          <w:szCs w:val="21"/>
        </w:rPr>
      </w:pPr>
    </w:p>
    <w:p w:rsidR="003477A5" w:rsidRDefault="003477A5">
      <w:pPr>
        <w:rPr>
          <w:rFonts w:ascii="Helvetica" w:hAnsi="Helvetica" w:cs="Helvetica"/>
          <w:bCs/>
          <w:color w:val="333333"/>
          <w:sz w:val="21"/>
          <w:szCs w:val="21"/>
        </w:rPr>
      </w:pPr>
    </w:p>
    <w:p w:rsidR="003477A5" w:rsidRDefault="003477A5">
      <w:pPr>
        <w:rPr>
          <w:rFonts w:ascii="Helvetica" w:hAnsi="Helvetica" w:cs="Helvetica"/>
          <w:bCs/>
          <w:color w:val="333333"/>
          <w:sz w:val="21"/>
          <w:szCs w:val="21"/>
        </w:rPr>
      </w:pPr>
    </w:p>
    <w:p w:rsidR="003477A5" w:rsidRDefault="00A67CBF">
      <w:pPr>
        <w:rPr>
          <w:rFonts w:ascii="Helvetica" w:hAnsi="Helvetica" w:cs="Helvetica"/>
          <w:bCs/>
          <w:color w:val="333333"/>
          <w:sz w:val="21"/>
          <w:szCs w:val="21"/>
        </w:rPr>
      </w:pPr>
      <w:r>
        <w:rPr>
          <w:rFonts w:ascii="Helvetica" w:hAnsi="Helvetica" w:cs="Helvetica"/>
          <w:bCs/>
          <w:color w:val="333333"/>
          <w:sz w:val="21"/>
          <w:szCs w:val="21"/>
        </w:rPr>
        <w:br/>
        <w:t> </w:t>
      </w:r>
    </w:p>
    <w:p w:rsidR="003477A5" w:rsidRDefault="003477A5">
      <w:pPr>
        <w:rPr>
          <w:rFonts w:ascii="Helvetica" w:hAnsi="Helvetica" w:cs="Helvetica"/>
          <w:color w:val="333333"/>
          <w:sz w:val="21"/>
          <w:szCs w:val="21"/>
        </w:rPr>
      </w:pP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15. What do you think are the main challenges that might be addressed through coordination and integration between the train operator and Network Rail? </w:t>
      </w:r>
    </w:p>
    <w:p w:rsidR="003477A5" w:rsidRDefault="003477A5">
      <w:pPr>
        <w:rPr>
          <w:rFonts w:ascii="Helvetica" w:hAnsi="Helvetica" w:cs="Helvetica"/>
          <w:color w:val="333333"/>
          <w:sz w:val="21"/>
          <w:szCs w:val="21"/>
        </w:rPr>
      </w:pP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3477A5">
            <w:pPr>
              <w:spacing w:after="240"/>
              <w:rPr>
                <w:rFonts w:ascii="Helvetica" w:hAnsi="Helvetica" w:cs="Helvetica"/>
                <w:color w:val="333333"/>
                <w:sz w:val="21"/>
                <w:szCs w:val="21"/>
              </w:rPr>
            </w:pPr>
          </w:p>
          <w:p w:rsidR="003477A5" w:rsidRDefault="00A67CBF">
            <w:pPr>
              <w:spacing w:after="240"/>
            </w:pPr>
            <w:r>
              <w:rPr>
                <w:rFonts w:ascii="Helvetica" w:hAnsi="Helvetica" w:cs="Helvetica"/>
                <w:color w:val="333333"/>
                <w:sz w:val="21"/>
                <w:szCs w:val="21"/>
              </w:rPr>
              <w:t xml:space="preserve">While we welcome the intent underlying the creation of the Western Route Supervisory Board, particularly the aim of furthering collaboration between the train operator and the infrastructure manager, we are concerned that </w:t>
            </w:r>
            <w:r>
              <w:rPr>
                <w:rFonts w:ascii="Helvetica" w:hAnsi="Helvetica" w:cs="Helvetica"/>
                <w:b/>
                <w:color w:val="333333"/>
                <w:sz w:val="21"/>
                <w:szCs w:val="21"/>
              </w:rPr>
              <w:t>‘smooth operation of the railway’ should not be viewed as an end in itself</w:t>
            </w:r>
            <w:r>
              <w:rPr>
                <w:rFonts w:ascii="Helvetica" w:hAnsi="Helvetica" w:cs="Helvetica"/>
                <w:color w:val="333333"/>
                <w:sz w:val="21"/>
                <w:szCs w:val="21"/>
              </w:rPr>
              <w:t xml:space="preserve">.  It is more appropriately seen as one potential ingredient of greater user satisfaction.  Indeed, passengers can themselves become a barrier to the ‘smooth operation of the railway’.  </w:t>
            </w:r>
          </w:p>
          <w:p w:rsidR="003477A5" w:rsidRDefault="00A67CBF">
            <w:pPr>
              <w:spacing w:after="240"/>
            </w:pPr>
            <w:r>
              <w:rPr>
                <w:rFonts w:ascii="Helvetica" w:hAnsi="Helvetica" w:cs="Helvetica"/>
                <w:color w:val="333333"/>
                <w:sz w:val="21"/>
                <w:szCs w:val="21"/>
              </w:rPr>
              <w:t>The main challenge to be addressed is how best to</w:t>
            </w:r>
            <w:r>
              <w:rPr>
                <w:rFonts w:ascii="Helvetica" w:hAnsi="Helvetica" w:cs="Helvetica"/>
                <w:b/>
                <w:color w:val="333333"/>
                <w:sz w:val="21"/>
                <w:szCs w:val="21"/>
              </w:rPr>
              <w:t xml:space="preserve"> ensure that the agenda of the route supervisory board is dominated by the need to provide a ‘safe, punctual and reliable service’ that is’ focussed on the needs of the travelling public’</w:t>
            </w:r>
            <w:r>
              <w:rPr>
                <w:rFonts w:ascii="Helvetica" w:hAnsi="Helvetica" w:cs="Helvetica"/>
                <w:color w:val="333333"/>
                <w:sz w:val="21"/>
                <w:szCs w:val="21"/>
              </w:rPr>
              <w:t xml:space="preserve"> in the words of the suggested Franchise Objectives. It is worth asking whether the arrangements put in place to further coordination and integration between the train operator and the infrastructure manager have the needs of the travelling public at the heart.  While train operators are increasingly end-user-focussed, the same – legitimately - is not necessarily true of the infrastructure manager whose principal customer interface is naturally with the train operators and government.  </w:t>
            </w:r>
          </w:p>
          <w:p w:rsidR="003477A5" w:rsidRDefault="00A67CBF">
            <w:r>
              <w:rPr>
                <w:rFonts w:ascii="Helvetica" w:hAnsi="Helvetica" w:cs="Helvetica"/>
                <w:color w:val="333333"/>
                <w:sz w:val="21"/>
                <w:szCs w:val="21"/>
              </w:rPr>
              <w:t xml:space="preserve">Inclusion of a representative of Transport Focus in the composition of the supervisory board is welcome and has encouraged consideration of end-user needs. It is undoubtedly an authoritative source of research-survey based intelligence on passenger-oriented issues.  However, the importance the Government attaches to understanding passengers’ needs reinforces the case for stronger user involvement in the work of the route supervisory boards: </w:t>
            </w:r>
            <w:r>
              <w:rPr>
                <w:rFonts w:ascii="Helvetica" w:hAnsi="Helvetica" w:cs="Helvetica"/>
                <w:b/>
                <w:color w:val="333333"/>
                <w:sz w:val="21"/>
                <w:szCs w:val="21"/>
              </w:rPr>
              <w:t xml:space="preserve">route supervisory boards should provide for authentic stakeholder representation </w:t>
            </w:r>
            <w:r>
              <w:rPr>
                <w:rFonts w:ascii="Helvetica" w:hAnsi="Helvetica" w:cs="Helvetica"/>
                <w:color w:val="333333"/>
                <w:sz w:val="21"/>
                <w:szCs w:val="21"/>
              </w:rPr>
              <w:t>of the sort that the various regional TravelWatch organisations are well-equipped to provide.</w:t>
            </w:r>
          </w:p>
          <w:p w:rsidR="003477A5" w:rsidRDefault="003477A5">
            <w:pPr>
              <w:spacing w:after="240"/>
            </w:pPr>
          </w:p>
        </w:tc>
      </w:tr>
    </w:tbl>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16. What do you think should be the future priorities for strengthened partnership working between the franchise operator and Network Rail? </w:t>
      </w:r>
    </w:p>
    <w:p w:rsidR="003477A5" w:rsidRDefault="003477A5">
      <w:pPr>
        <w:rPr>
          <w:rFonts w:ascii="Helvetica" w:hAnsi="Helvetica" w:cs="Helvetica"/>
          <w:color w:val="333333"/>
          <w:sz w:val="21"/>
          <w:szCs w:val="21"/>
        </w:rPr>
      </w:pP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3477A5">
            <w:pPr>
              <w:spacing w:after="240"/>
              <w:rPr>
                <w:rFonts w:ascii="Helvetica" w:hAnsi="Helvetica" w:cs="Helvetica"/>
                <w:color w:val="333333"/>
                <w:sz w:val="21"/>
                <w:szCs w:val="21"/>
              </w:rPr>
            </w:pPr>
          </w:p>
          <w:p w:rsidR="003477A5" w:rsidRDefault="00A67CBF">
            <w:pPr>
              <w:spacing w:after="240"/>
            </w:pPr>
            <w:r>
              <w:rPr>
                <w:rFonts w:ascii="Helvetica" w:hAnsi="Helvetica" w:cs="Helvetica"/>
                <w:color w:val="333333"/>
                <w:sz w:val="21"/>
                <w:szCs w:val="21"/>
              </w:rPr>
              <w:t xml:space="preserve">The supervisory board’s terms of reference should be adapted to reflect the priorities for the franchise proposed by the Government, particularly those concerned with ensuring an excellent and continually improving customer experience for all passengers.  Network Rail’s role, although vital as principal infrastructure manager, should take account of the fact that it has only limited engagement with end-users, its principal inter-action being with other industry players and Government.  </w:t>
            </w:r>
            <w:r>
              <w:rPr>
                <w:rFonts w:ascii="Helvetica" w:hAnsi="Helvetica" w:cs="Helvetica"/>
                <w:b/>
                <w:color w:val="333333"/>
                <w:sz w:val="21"/>
                <w:szCs w:val="21"/>
              </w:rPr>
              <w:t>A balance needs to be found that reflects the pre-eminence of the franchisee in the management of end-users and which facilitates opportunities for meaningful third party engagement in delivery of the franchisee’s infrastructure aspirations as well as those of regional and local stakeholders and other third-parties</w:t>
            </w:r>
            <w:r>
              <w:rPr>
                <w:rFonts w:ascii="Helvetica" w:hAnsi="Helvetica" w:cs="Helvetica"/>
                <w:color w:val="333333"/>
                <w:sz w:val="21"/>
                <w:szCs w:val="21"/>
              </w:rPr>
              <w:t>.  It may be that experience with the delivery of East West Rail validates the potential advantages of new ways of delivering infrastructure operations, maintenance and renewals, as well as new projects, other than with the involvement of Network Rail.</w:t>
            </w:r>
          </w:p>
        </w:tc>
      </w:tr>
    </w:tbl>
    <w:p w:rsidR="003477A5" w:rsidRDefault="00A67CBF">
      <w:pPr>
        <w:rPr>
          <w:rFonts w:ascii="Helvetica" w:hAnsi="Helvetica" w:cs="Helvetica"/>
          <w:b/>
          <w:bCs/>
          <w:color w:val="333333"/>
          <w:sz w:val="36"/>
          <w:szCs w:val="36"/>
        </w:rPr>
      </w:pPr>
      <w:r>
        <w:rPr>
          <w:rFonts w:ascii="Helvetica" w:hAnsi="Helvetica" w:cs="Helvetica"/>
          <w:b/>
          <w:bCs/>
          <w:color w:val="333333"/>
          <w:sz w:val="36"/>
          <w:szCs w:val="36"/>
        </w:rPr>
        <w:t xml:space="preserve">9. Infrastructure enhancement schemes </w:t>
      </w:r>
    </w:p>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rPr>
          <w:rFonts w:ascii="Helvetica" w:hAnsi="Helvetica" w:cs="Helvetica"/>
          <w:bCs/>
          <w:color w:val="333333"/>
          <w:sz w:val="21"/>
          <w:szCs w:val="21"/>
        </w:rPr>
      </w:pPr>
      <w:r>
        <w:rPr>
          <w:rFonts w:ascii="Helvetica" w:hAnsi="Helvetica" w:cs="Helvetica"/>
          <w:bCs/>
          <w:color w:val="333333"/>
          <w:sz w:val="21"/>
          <w:szCs w:val="21"/>
        </w:rPr>
        <w:t xml:space="preserve">We believe that a key priority for the next franchisee should be to support the development of potential infrastructure enhancement schemes, including those promoted by local authorities or other third-party promoters, and to work with Network Rail on identifying sources of third-party funding. We will therefore consider how the specification for the next franchise can best support the development of locally-promoted enhancement schemes, focusing on those proposals that meet a clearly-identified local need, and that have realistic prospects of being prioritised by local funders and offering good value for money. Some examples are: </w:t>
      </w:r>
    </w:p>
    <w:tbl>
      <w:tblPr>
        <w:tblW w:w="9026" w:type="dxa"/>
        <w:tblCellMar>
          <w:left w:w="10" w:type="dxa"/>
          <w:right w:w="10" w:type="dxa"/>
        </w:tblCellMar>
        <w:tblLook w:val="0000" w:firstRow="0" w:lastRow="0" w:firstColumn="0" w:lastColumn="0" w:noHBand="0" w:noVBand="0"/>
      </w:tblPr>
      <w:tblGrid>
        <w:gridCol w:w="9026"/>
      </w:tblGrid>
      <w:tr w:rsidR="003477A5">
        <w:tc>
          <w:tcPr>
            <w:tcW w:w="9026" w:type="dxa"/>
            <w:shd w:val="clear" w:color="auto" w:fill="auto"/>
            <w:tcMar>
              <w:top w:w="0" w:type="dxa"/>
              <w:left w:w="0" w:type="dxa"/>
              <w:bottom w:w="0" w:type="dxa"/>
              <w:right w:w="0" w:type="dxa"/>
            </w:tcMar>
          </w:tcPr>
          <w:p w:rsidR="003477A5" w:rsidRDefault="00A67CBF">
            <w:pPr>
              <w:pStyle w:val="ListParagraph"/>
              <w:numPr>
                <w:ilvl w:val="0"/>
                <w:numId w:val="12"/>
              </w:numPr>
              <w:spacing w:before="300" w:after="300"/>
            </w:pPr>
            <w:r>
              <w:rPr>
                <w:rStyle w:val="Strong"/>
                <w:rFonts w:ascii="Helvetica" w:hAnsi="Helvetica" w:cs="Helvetica"/>
                <w:color w:val="333333"/>
                <w:sz w:val="21"/>
                <w:szCs w:val="21"/>
              </w:rPr>
              <w:t>Peninsula Rail Task Force (PRTF)</w:t>
            </w:r>
            <w:r>
              <w:rPr>
                <w:rFonts w:ascii="Helvetica" w:hAnsi="Helvetica" w:cs="Helvetica"/>
                <w:color w:val="333333"/>
                <w:sz w:val="21"/>
                <w:szCs w:val="21"/>
              </w:rPr>
              <w:t>: A group comprising local authorities and local enterprise partnerships from across the south west peninsula, which has developed proposals around three key themes: resilience and reliability, faster journey times and connectivity, and sufficient capacity and comfort. Network Rail and the current franchisee have already been working together following publication of PRTF’s "Closing the Gap" report and we will expect further collaboration to inform future infrastructure decisions in these areas.</w:t>
            </w:r>
          </w:p>
        </w:tc>
      </w:tr>
    </w:tbl>
    <w:p w:rsidR="003477A5" w:rsidRDefault="003477A5">
      <w:pPr>
        <w:rPr>
          <w:rFonts w:ascii="Helvetica" w:hAnsi="Helvetica" w:cs="Helvetica"/>
          <w:b/>
          <w:bCs/>
          <w:vanish/>
          <w:color w:val="333333"/>
          <w:sz w:val="21"/>
          <w:szCs w:val="21"/>
        </w:rPr>
      </w:pPr>
    </w:p>
    <w:tbl>
      <w:tblPr>
        <w:tblW w:w="9026" w:type="dxa"/>
        <w:tblCellMar>
          <w:left w:w="10" w:type="dxa"/>
          <w:right w:w="10" w:type="dxa"/>
        </w:tblCellMar>
        <w:tblLook w:val="0000" w:firstRow="0" w:lastRow="0" w:firstColumn="0" w:lastColumn="0" w:noHBand="0" w:noVBand="0"/>
      </w:tblPr>
      <w:tblGrid>
        <w:gridCol w:w="9026"/>
      </w:tblGrid>
      <w:tr w:rsidR="003477A5">
        <w:tc>
          <w:tcPr>
            <w:tcW w:w="9026" w:type="dxa"/>
            <w:shd w:val="clear" w:color="auto" w:fill="auto"/>
            <w:tcMar>
              <w:top w:w="0" w:type="dxa"/>
              <w:left w:w="0" w:type="dxa"/>
              <w:bottom w:w="0" w:type="dxa"/>
              <w:right w:w="0" w:type="dxa"/>
            </w:tcMar>
          </w:tcPr>
          <w:p w:rsidR="003477A5" w:rsidRDefault="00A67CBF">
            <w:pPr>
              <w:pStyle w:val="ListParagraph"/>
              <w:numPr>
                <w:ilvl w:val="0"/>
                <w:numId w:val="12"/>
              </w:numPr>
              <w:spacing w:before="300" w:after="300"/>
            </w:pPr>
            <w:r>
              <w:rPr>
                <w:rStyle w:val="Strong"/>
                <w:rFonts w:ascii="Helvetica" w:hAnsi="Helvetica" w:cs="Helvetica"/>
                <w:color w:val="333333"/>
                <w:sz w:val="21"/>
                <w:szCs w:val="21"/>
              </w:rPr>
              <w:t>MetroWest</w:t>
            </w:r>
            <w:r>
              <w:rPr>
                <w:rFonts w:ascii="Helvetica" w:hAnsi="Helvetica" w:cs="Helvetica"/>
                <w:color w:val="333333"/>
                <w:sz w:val="21"/>
                <w:szCs w:val="21"/>
              </w:rPr>
              <w:t>: A scheme being promoted by the West of England Combined Authority (WECA), to provide half-hourly services at most local stations in the Bristol area, as well as restoring passenger services to Portishead and opening other new stations. Subject to the local promoters deciding to proceed with this scheme, we will work with them to deliver the planned service enhancements. We are also examining the potential for the new MetroWest services to be extended beyond their currently-planned termini, to serve Gloucester and Westbury. We will request proposals from the current franchisee to source the additional rolling stock that such extensions would require.</w:t>
            </w:r>
          </w:p>
        </w:tc>
      </w:tr>
    </w:tbl>
    <w:p w:rsidR="003477A5" w:rsidRDefault="003477A5">
      <w:pPr>
        <w:rPr>
          <w:rFonts w:ascii="Helvetica" w:hAnsi="Helvetica" w:cs="Helvetica"/>
          <w:b/>
          <w:bCs/>
          <w:vanish/>
          <w:color w:val="333333"/>
          <w:sz w:val="21"/>
          <w:szCs w:val="21"/>
        </w:rPr>
      </w:pPr>
    </w:p>
    <w:tbl>
      <w:tblPr>
        <w:tblW w:w="9026" w:type="dxa"/>
        <w:tblCellMar>
          <w:left w:w="10" w:type="dxa"/>
          <w:right w:w="10" w:type="dxa"/>
        </w:tblCellMar>
        <w:tblLook w:val="0000" w:firstRow="0" w:lastRow="0" w:firstColumn="0" w:lastColumn="0" w:noHBand="0" w:noVBand="0"/>
      </w:tblPr>
      <w:tblGrid>
        <w:gridCol w:w="9026"/>
      </w:tblGrid>
      <w:tr w:rsidR="003477A5">
        <w:tc>
          <w:tcPr>
            <w:tcW w:w="9026" w:type="dxa"/>
            <w:shd w:val="clear" w:color="auto" w:fill="auto"/>
            <w:tcMar>
              <w:top w:w="0" w:type="dxa"/>
              <w:left w:w="0" w:type="dxa"/>
              <w:bottom w:w="0" w:type="dxa"/>
              <w:right w:w="0" w:type="dxa"/>
            </w:tcMar>
          </w:tcPr>
          <w:p w:rsidR="003477A5" w:rsidRDefault="00A67CBF">
            <w:pPr>
              <w:pStyle w:val="ListParagraph"/>
              <w:numPr>
                <w:ilvl w:val="0"/>
                <w:numId w:val="12"/>
              </w:numPr>
              <w:spacing w:before="300" w:after="300"/>
            </w:pPr>
            <w:r>
              <w:rPr>
                <w:rStyle w:val="Strong"/>
                <w:rFonts w:ascii="Helvetica" w:hAnsi="Helvetica" w:cs="Helvetica"/>
                <w:color w:val="333333"/>
                <w:sz w:val="21"/>
                <w:szCs w:val="21"/>
              </w:rPr>
              <w:t>Devon Metro</w:t>
            </w:r>
            <w:r>
              <w:rPr>
                <w:rFonts w:ascii="Helvetica" w:hAnsi="Helvetica" w:cs="Helvetica"/>
                <w:color w:val="333333"/>
                <w:sz w:val="21"/>
                <w:szCs w:val="21"/>
              </w:rPr>
              <w:t>: A scheme promoted by Devon County Council to improve local rail services around Exeter, by constructing some new stations and providing more frequent and regular services on routes serving Exeter.</w:t>
            </w:r>
          </w:p>
        </w:tc>
      </w:tr>
    </w:tbl>
    <w:p w:rsidR="003477A5" w:rsidRDefault="003477A5">
      <w:pPr>
        <w:rPr>
          <w:rFonts w:ascii="Helvetica" w:hAnsi="Helvetica" w:cs="Helvetica"/>
          <w:b/>
          <w:bCs/>
          <w:vanish/>
          <w:color w:val="333333"/>
          <w:sz w:val="21"/>
          <w:szCs w:val="21"/>
        </w:rPr>
      </w:pPr>
    </w:p>
    <w:tbl>
      <w:tblPr>
        <w:tblW w:w="9026" w:type="dxa"/>
        <w:tblCellMar>
          <w:left w:w="10" w:type="dxa"/>
          <w:right w:w="10" w:type="dxa"/>
        </w:tblCellMar>
        <w:tblLook w:val="0000" w:firstRow="0" w:lastRow="0" w:firstColumn="0" w:lastColumn="0" w:noHBand="0" w:noVBand="0"/>
      </w:tblPr>
      <w:tblGrid>
        <w:gridCol w:w="9026"/>
      </w:tblGrid>
      <w:tr w:rsidR="003477A5">
        <w:tc>
          <w:tcPr>
            <w:tcW w:w="9026" w:type="dxa"/>
            <w:shd w:val="clear" w:color="auto" w:fill="auto"/>
            <w:tcMar>
              <w:top w:w="0" w:type="dxa"/>
              <w:left w:w="0" w:type="dxa"/>
              <w:bottom w:w="0" w:type="dxa"/>
              <w:right w:w="0" w:type="dxa"/>
            </w:tcMar>
          </w:tcPr>
          <w:p w:rsidR="003477A5" w:rsidRDefault="00A67CBF">
            <w:pPr>
              <w:pStyle w:val="ListParagraph"/>
              <w:numPr>
                <w:ilvl w:val="0"/>
                <w:numId w:val="12"/>
              </w:numPr>
              <w:spacing w:before="300" w:after="300"/>
            </w:pPr>
            <w:r>
              <w:rPr>
                <w:rStyle w:val="Strong"/>
                <w:rFonts w:ascii="Helvetica" w:hAnsi="Helvetica" w:cs="Helvetica"/>
                <w:color w:val="333333"/>
                <w:sz w:val="21"/>
                <w:szCs w:val="21"/>
              </w:rPr>
              <w:t>Okehampton</w:t>
            </w:r>
            <w:r>
              <w:rPr>
                <w:rFonts w:ascii="Helvetica" w:hAnsi="Helvetica" w:cs="Helvetica"/>
                <w:color w:val="333333"/>
                <w:sz w:val="21"/>
                <w:szCs w:val="21"/>
              </w:rPr>
              <w:t>: A scheme to start regular, year-round passenger services between Okehampton and Exeter, including a possible new station at Okehampton Parkway, as part of the wider "Devon Metro" concept. We will request proposals from the current franchisee to trial an all-week, year-round service on the Okehampton route.</w:t>
            </w:r>
          </w:p>
        </w:tc>
      </w:tr>
    </w:tbl>
    <w:p w:rsidR="003477A5" w:rsidRDefault="003477A5">
      <w:pPr>
        <w:rPr>
          <w:rFonts w:ascii="Helvetica" w:hAnsi="Helvetica" w:cs="Helvetica"/>
          <w:b/>
          <w:bCs/>
          <w:vanish/>
          <w:color w:val="333333"/>
          <w:sz w:val="21"/>
          <w:szCs w:val="21"/>
        </w:rPr>
      </w:pPr>
    </w:p>
    <w:tbl>
      <w:tblPr>
        <w:tblW w:w="9026" w:type="dxa"/>
        <w:tblCellMar>
          <w:left w:w="10" w:type="dxa"/>
          <w:right w:w="10" w:type="dxa"/>
        </w:tblCellMar>
        <w:tblLook w:val="0000" w:firstRow="0" w:lastRow="0" w:firstColumn="0" w:lastColumn="0" w:noHBand="0" w:noVBand="0"/>
      </w:tblPr>
      <w:tblGrid>
        <w:gridCol w:w="9026"/>
      </w:tblGrid>
      <w:tr w:rsidR="003477A5">
        <w:tc>
          <w:tcPr>
            <w:tcW w:w="9026" w:type="dxa"/>
            <w:shd w:val="clear" w:color="auto" w:fill="auto"/>
            <w:tcMar>
              <w:top w:w="0" w:type="dxa"/>
              <w:left w:w="0" w:type="dxa"/>
              <w:bottom w:w="0" w:type="dxa"/>
              <w:right w:w="0" w:type="dxa"/>
            </w:tcMar>
          </w:tcPr>
          <w:p w:rsidR="003477A5" w:rsidRDefault="00A67CBF">
            <w:pPr>
              <w:pStyle w:val="ListParagraph"/>
              <w:numPr>
                <w:ilvl w:val="0"/>
                <w:numId w:val="12"/>
              </w:numPr>
              <w:spacing w:before="300" w:after="300"/>
            </w:pPr>
            <w:r>
              <w:rPr>
                <w:rStyle w:val="Strong"/>
                <w:rFonts w:ascii="Helvetica" w:hAnsi="Helvetica" w:cs="Helvetica"/>
                <w:color w:val="333333"/>
                <w:sz w:val="21"/>
                <w:szCs w:val="21"/>
              </w:rPr>
              <w:t>Tavistock and Plymouth Metro</w:t>
            </w:r>
            <w:r>
              <w:rPr>
                <w:rFonts w:ascii="Helvetica" w:hAnsi="Helvetica" w:cs="Helvetica"/>
                <w:color w:val="333333"/>
                <w:sz w:val="21"/>
                <w:szCs w:val="21"/>
              </w:rPr>
              <w:t>: Devon County Council is leading a project to re-open a 5.5 mile stretch of disused railway line between Bere Alston and Tavistock, to enable the introduction of rail services between Tavistock and Plymouth, and Plymouth City Council and local partners have begun to consider how such a scheme could form part of a wider ‘Plymouth Metro’ concept.</w:t>
            </w:r>
          </w:p>
        </w:tc>
      </w:tr>
    </w:tbl>
    <w:p w:rsidR="003477A5" w:rsidRDefault="003477A5">
      <w:pPr>
        <w:rPr>
          <w:rFonts w:ascii="Helvetica" w:hAnsi="Helvetica" w:cs="Helvetica"/>
          <w:b/>
          <w:bCs/>
          <w:vanish/>
          <w:color w:val="333333"/>
          <w:sz w:val="21"/>
          <w:szCs w:val="21"/>
        </w:rPr>
      </w:pPr>
    </w:p>
    <w:tbl>
      <w:tblPr>
        <w:tblW w:w="9026" w:type="dxa"/>
        <w:tblCellMar>
          <w:left w:w="10" w:type="dxa"/>
          <w:right w:w="10" w:type="dxa"/>
        </w:tblCellMar>
        <w:tblLook w:val="0000" w:firstRow="0" w:lastRow="0" w:firstColumn="0" w:lastColumn="0" w:noHBand="0" w:noVBand="0"/>
      </w:tblPr>
      <w:tblGrid>
        <w:gridCol w:w="9026"/>
      </w:tblGrid>
      <w:tr w:rsidR="003477A5">
        <w:tc>
          <w:tcPr>
            <w:tcW w:w="9026" w:type="dxa"/>
            <w:shd w:val="clear" w:color="auto" w:fill="auto"/>
            <w:tcMar>
              <w:top w:w="0" w:type="dxa"/>
              <w:left w:w="0" w:type="dxa"/>
              <w:bottom w:w="0" w:type="dxa"/>
              <w:right w:w="0" w:type="dxa"/>
            </w:tcMar>
          </w:tcPr>
          <w:p w:rsidR="003477A5" w:rsidRDefault="00A67CBF">
            <w:pPr>
              <w:pStyle w:val="ListParagraph"/>
              <w:numPr>
                <w:ilvl w:val="0"/>
                <w:numId w:val="12"/>
              </w:numPr>
              <w:spacing w:before="300" w:after="300"/>
            </w:pPr>
            <w:r>
              <w:rPr>
                <w:rStyle w:val="Strong"/>
                <w:rFonts w:ascii="Helvetica" w:hAnsi="Helvetica" w:cs="Helvetica"/>
                <w:color w:val="333333"/>
                <w:sz w:val="21"/>
                <w:szCs w:val="21"/>
              </w:rPr>
              <w:t>North Cotswold Line Task Force</w:t>
            </w:r>
            <w:r>
              <w:rPr>
                <w:rFonts w:ascii="Helvetica" w:hAnsi="Helvetica" w:cs="Helvetica"/>
                <w:color w:val="333333"/>
                <w:sz w:val="21"/>
                <w:szCs w:val="21"/>
              </w:rPr>
              <w:t>: This recently-established Task Force draws together local authorities and other partners with an interest in the North Cotswold route between Oxford, Worcester and Hereford. It aims to develop proposals for faster and more frequent journeys to and from London.</w:t>
            </w:r>
          </w:p>
        </w:tc>
      </w:tr>
    </w:tbl>
    <w:p w:rsidR="003477A5" w:rsidRDefault="003477A5">
      <w:pPr>
        <w:rPr>
          <w:rFonts w:ascii="Helvetica" w:hAnsi="Helvetica" w:cs="Helvetica"/>
          <w:b/>
          <w:bCs/>
          <w:vanish/>
          <w:color w:val="333333"/>
          <w:sz w:val="21"/>
          <w:szCs w:val="21"/>
        </w:rPr>
      </w:pPr>
    </w:p>
    <w:tbl>
      <w:tblPr>
        <w:tblW w:w="9026" w:type="dxa"/>
        <w:tblCellMar>
          <w:left w:w="10" w:type="dxa"/>
          <w:right w:w="10" w:type="dxa"/>
        </w:tblCellMar>
        <w:tblLook w:val="0000" w:firstRow="0" w:lastRow="0" w:firstColumn="0" w:lastColumn="0" w:noHBand="0" w:noVBand="0"/>
      </w:tblPr>
      <w:tblGrid>
        <w:gridCol w:w="9026"/>
      </w:tblGrid>
      <w:tr w:rsidR="003477A5">
        <w:tc>
          <w:tcPr>
            <w:tcW w:w="9026" w:type="dxa"/>
            <w:shd w:val="clear" w:color="auto" w:fill="auto"/>
            <w:tcMar>
              <w:top w:w="0" w:type="dxa"/>
              <w:left w:w="0" w:type="dxa"/>
              <w:bottom w:w="0" w:type="dxa"/>
              <w:right w:w="0" w:type="dxa"/>
            </w:tcMar>
          </w:tcPr>
          <w:p w:rsidR="003477A5" w:rsidRDefault="00A67CBF">
            <w:pPr>
              <w:pStyle w:val="ListParagraph"/>
              <w:numPr>
                <w:ilvl w:val="0"/>
                <w:numId w:val="12"/>
              </w:numPr>
              <w:spacing w:before="300" w:after="300"/>
            </w:pPr>
            <w:r>
              <w:rPr>
                <w:rStyle w:val="Strong"/>
                <w:rFonts w:ascii="Helvetica" w:hAnsi="Helvetica" w:cs="Helvetica"/>
                <w:color w:val="333333"/>
                <w:sz w:val="21"/>
                <w:szCs w:val="21"/>
              </w:rPr>
              <w:t>Bourne End</w:t>
            </w:r>
            <w:r>
              <w:rPr>
                <w:rFonts w:ascii="Helvetica" w:hAnsi="Helvetica" w:cs="Helvetica"/>
                <w:color w:val="333333"/>
                <w:sz w:val="21"/>
                <w:szCs w:val="21"/>
              </w:rPr>
              <w:t>: A scheme to remodel the track layout at Bourne End to enable a half-hourly direct service to operate between Maidenhead, Bourne End and Marlow.</w:t>
            </w:r>
          </w:p>
        </w:tc>
      </w:tr>
    </w:tbl>
    <w:p w:rsidR="003477A5" w:rsidRDefault="003477A5">
      <w:pPr>
        <w:rPr>
          <w:rFonts w:ascii="Helvetica" w:hAnsi="Helvetica" w:cs="Helvetica"/>
          <w:color w:val="333333"/>
          <w:sz w:val="21"/>
          <w:szCs w:val="21"/>
        </w:rPr>
      </w:pP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17. Are you promoting a scheme for a new station or line which has a realistic prospect of being funded? Please provide brief details here. </w:t>
      </w:r>
    </w:p>
    <w:p w:rsidR="003477A5" w:rsidRDefault="003477A5">
      <w:pPr>
        <w:rPr>
          <w:rFonts w:ascii="Helvetica" w:hAnsi="Helvetica" w:cs="Helvetica"/>
          <w:color w:val="333333"/>
          <w:sz w:val="21"/>
          <w:szCs w:val="21"/>
        </w:rPr>
      </w:pP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A67CBF">
            <w:pPr>
              <w:spacing w:after="240"/>
              <w:rPr>
                <w:rFonts w:ascii="Helvetica" w:hAnsi="Helvetica" w:cs="Helvetica"/>
                <w:color w:val="333333"/>
                <w:sz w:val="21"/>
                <w:szCs w:val="21"/>
              </w:rPr>
            </w:pPr>
            <w:r>
              <w:rPr>
                <w:rFonts w:ascii="Helvetica" w:hAnsi="Helvetica" w:cs="Helvetica"/>
                <w:color w:val="333333"/>
                <w:sz w:val="21"/>
                <w:szCs w:val="21"/>
              </w:rPr>
              <w:t> </w:t>
            </w:r>
          </w:p>
          <w:p w:rsidR="003477A5" w:rsidRDefault="00A67CBF">
            <w:pPr>
              <w:spacing w:after="240"/>
              <w:rPr>
                <w:rFonts w:ascii="Helvetica" w:hAnsi="Helvetica" w:cs="Helvetica"/>
                <w:color w:val="333333"/>
                <w:sz w:val="21"/>
                <w:szCs w:val="21"/>
              </w:rPr>
            </w:pPr>
            <w:r>
              <w:rPr>
                <w:rFonts w:ascii="Helvetica" w:hAnsi="Helvetica" w:cs="Helvetica"/>
                <w:color w:val="333333"/>
                <w:sz w:val="21"/>
                <w:szCs w:val="21"/>
              </w:rPr>
              <w:t>n.a.</w:t>
            </w:r>
            <w:r>
              <w:rPr>
                <w:rFonts w:ascii="Helvetica" w:hAnsi="Helvetica" w:cs="Helvetica"/>
                <w:color w:val="333333"/>
                <w:sz w:val="21"/>
                <w:szCs w:val="21"/>
              </w:rPr>
              <w:br/>
            </w:r>
          </w:p>
        </w:tc>
      </w:tr>
    </w:tbl>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18. What actions would you like the franchise to undertake in order to support the development of this scheme? </w:t>
      </w:r>
    </w:p>
    <w:p w:rsidR="003477A5" w:rsidRDefault="003477A5">
      <w:pPr>
        <w:rPr>
          <w:rFonts w:ascii="Helvetica" w:hAnsi="Helvetica" w:cs="Helvetica"/>
          <w:color w:val="333333"/>
          <w:sz w:val="21"/>
          <w:szCs w:val="21"/>
        </w:rPr>
      </w:pP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A67CBF">
            <w:pPr>
              <w:spacing w:after="240"/>
              <w:rPr>
                <w:rFonts w:ascii="Helvetica" w:hAnsi="Helvetica" w:cs="Helvetica"/>
                <w:color w:val="333333"/>
                <w:sz w:val="21"/>
                <w:szCs w:val="21"/>
              </w:rPr>
            </w:pPr>
            <w:r>
              <w:rPr>
                <w:rFonts w:ascii="Helvetica" w:hAnsi="Helvetica" w:cs="Helvetica"/>
                <w:color w:val="333333"/>
                <w:sz w:val="21"/>
                <w:szCs w:val="21"/>
              </w:rPr>
              <w:t> </w:t>
            </w:r>
          </w:p>
          <w:p w:rsidR="003477A5" w:rsidRDefault="00A67CBF">
            <w:pPr>
              <w:spacing w:after="240"/>
              <w:rPr>
                <w:rFonts w:ascii="Helvetica" w:hAnsi="Helvetica" w:cs="Helvetica"/>
                <w:color w:val="333333"/>
                <w:sz w:val="21"/>
                <w:szCs w:val="21"/>
              </w:rPr>
            </w:pPr>
            <w:r>
              <w:rPr>
                <w:rFonts w:ascii="Helvetica" w:hAnsi="Helvetica" w:cs="Helvetica"/>
                <w:color w:val="333333"/>
                <w:sz w:val="21"/>
                <w:szCs w:val="21"/>
              </w:rPr>
              <w:t>Our comments on the importance of business units with a sub-regional focus within the wider franchise organisation and the value of building on the experience of the present franchisee in developing stakeholder relationships and nurturing third-party investment should be reflected in the future franchise provisions.</w:t>
            </w:r>
          </w:p>
        </w:tc>
      </w:tr>
    </w:tbl>
    <w:p w:rsidR="003477A5" w:rsidRDefault="00A67CBF">
      <w:pPr>
        <w:rPr>
          <w:rFonts w:ascii="Helvetica" w:hAnsi="Helvetica" w:cs="Helvetica"/>
          <w:b/>
          <w:bCs/>
          <w:color w:val="333333"/>
          <w:sz w:val="36"/>
          <w:szCs w:val="36"/>
        </w:rPr>
      </w:pPr>
      <w:r>
        <w:rPr>
          <w:rFonts w:ascii="Helvetica" w:hAnsi="Helvetica" w:cs="Helvetica"/>
          <w:b/>
          <w:bCs/>
          <w:color w:val="333333"/>
          <w:sz w:val="36"/>
          <w:szCs w:val="36"/>
        </w:rPr>
        <w:t xml:space="preserve">10. Train service improvements </w:t>
      </w:r>
    </w:p>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19. Which routes do you believe could benefit from improvements to train frequencies? </w:t>
      </w:r>
    </w:p>
    <w:p w:rsidR="003477A5" w:rsidRDefault="003477A5">
      <w:pPr>
        <w:rPr>
          <w:rFonts w:ascii="Helvetica" w:hAnsi="Helvetica" w:cs="Helvetica"/>
          <w:color w:val="333333"/>
          <w:sz w:val="21"/>
          <w:szCs w:val="21"/>
        </w:rPr>
      </w:pP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3477A5">
            <w:pPr>
              <w:spacing w:after="240"/>
              <w:rPr>
                <w:rFonts w:ascii="Helvetica" w:hAnsi="Helvetica" w:cs="Helvetica"/>
                <w:color w:val="333333"/>
                <w:sz w:val="21"/>
                <w:szCs w:val="21"/>
              </w:rPr>
            </w:pPr>
          </w:p>
          <w:p w:rsidR="003477A5" w:rsidRDefault="00A67CBF">
            <w:pPr>
              <w:spacing w:after="240"/>
            </w:pPr>
            <w:r>
              <w:rPr>
                <w:rFonts w:ascii="Helvetica" w:hAnsi="Helvetica" w:cs="Helvetica"/>
                <w:i/>
                <w:color w:val="333333"/>
                <w:sz w:val="21"/>
                <w:szCs w:val="21"/>
              </w:rPr>
              <w:t>Connecting the Dots</w:t>
            </w:r>
            <w:r>
              <w:rPr>
                <w:rFonts w:ascii="Helvetica" w:hAnsi="Helvetica" w:cs="Helvetica"/>
                <w:color w:val="333333"/>
                <w:sz w:val="21"/>
                <w:szCs w:val="21"/>
              </w:rPr>
              <w:t xml:space="preserve"> summarised the principal suggestions received during extensive consultation in summer 2017is appended. The route-by-route summary included in that document has been further up-dated, below, to reflect additional advice received during the present consultation.  The summary assumes implementation of GWR’s timetable changes announced for December 2018/January 2019 and include:</w:t>
            </w:r>
          </w:p>
          <w:p w:rsidR="003477A5" w:rsidRDefault="003477A5">
            <w:pPr>
              <w:spacing w:line="276" w:lineRule="auto"/>
              <w:rPr>
                <w:rFonts w:cs="Calibri"/>
                <w:sz w:val="28"/>
                <w:szCs w:val="28"/>
              </w:rPr>
            </w:pPr>
          </w:p>
          <w:tbl>
            <w:tblPr>
              <w:tblW w:w="9017" w:type="dxa"/>
              <w:tblCellMar>
                <w:left w:w="10" w:type="dxa"/>
                <w:right w:w="10" w:type="dxa"/>
              </w:tblCellMar>
              <w:tblLook w:val="0000" w:firstRow="0" w:lastRow="0" w:firstColumn="0" w:lastColumn="0" w:noHBand="0" w:noVBand="0"/>
            </w:tblPr>
            <w:tblGrid>
              <w:gridCol w:w="460"/>
              <w:gridCol w:w="2976"/>
              <w:gridCol w:w="2597"/>
              <w:gridCol w:w="2984"/>
            </w:tblGrid>
            <w:tr w:rsidR="003477A5">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3477A5">
                  <w:pPr>
                    <w:textAlignment w:val="auto"/>
                    <w:rPr>
                      <w:rFonts w:ascii="Calibri" w:eastAsia="Calibri" w:hAnsi="Calibri" w:cs="Calibri"/>
                      <w:b/>
                      <w:sz w:val="22"/>
                      <w:szCs w:val="22"/>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b/>
                      <w:sz w:val="22"/>
                      <w:szCs w:val="22"/>
                    </w:rPr>
                  </w:pPr>
                  <w:r>
                    <w:rPr>
                      <w:rFonts w:ascii="Calibri" w:eastAsia="Calibri" w:hAnsi="Calibri" w:cs="Calibri"/>
                      <w:b/>
                      <w:sz w:val="22"/>
                      <w:szCs w:val="22"/>
                    </w:rPr>
                    <w:t>Route</w:t>
                  </w:r>
                </w:p>
              </w:tc>
              <w:tc>
                <w:tcPr>
                  <w:tcW w:w="2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b/>
                      <w:sz w:val="22"/>
                      <w:szCs w:val="22"/>
                    </w:rPr>
                  </w:pPr>
                  <w:r>
                    <w:rPr>
                      <w:rFonts w:ascii="Calibri" w:eastAsia="Calibri" w:hAnsi="Calibri" w:cs="Calibri"/>
                      <w:b/>
                      <w:sz w:val="22"/>
                      <w:szCs w:val="22"/>
                    </w:rPr>
                    <w:t>Requirement</w:t>
                  </w:r>
                </w:p>
              </w:tc>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b/>
                      <w:sz w:val="22"/>
                      <w:szCs w:val="22"/>
                    </w:rPr>
                  </w:pPr>
                  <w:r>
                    <w:rPr>
                      <w:rFonts w:ascii="Calibri" w:eastAsia="Calibri" w:hAnsi="Calibri" w:cs="Calibri"/>
                      <w:b/>
                      <w:sz w:val="22"/>
                      <w:szCs w:val="22"/>
                    </w:rPr>
                    <w:t>Commentary</w:t>
                  </w:r>
                </w:p>
              </w:tc>
            </w:tr>
            <w:tr w:rsidR="003477A5">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jc w:val="center"/>
                    <w:textAlignment w:val="auto"/>
                    <w:rPr>
                      <w:rFonts w:ascii="Calibri" w:eastAsia="Calibri" w:hAnsi="Calibri" w:cs="Calibri"/>
                      <w:b/>
                      <w:sz w:val="22"/>
                      <w:szCs w:val="22"/>
                    </w:rPr>
                  </w:pPr>
                  <w:r>
                    <w:rPr>
                      <w:rFonts w:ascii="Calibri" w:eastAsia="Calibri" w:hAnsi="Calibri" w:cs="Calibri"/>
                      <w:b/>
                      <w:sz w:val="22"/>
                      <w:szCs w:val="22"/>
                    </w:rPr>
                    <w:t>1</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b/>
                      <w:sz w:val="22"/>
                      <w:szCs w:val="22"/>
                    </w:rPr>
                  </w:pPr>
                  <w:r>
                    <w:rPr>
                      <w:rFonts w:ascii="Calibri" w:eastAsia="Calibri" w:hAnsi="Calibri" w:cs="Calibri"/>
                      <w:b/>
                      <w:sz w:val="22"/>
                      <w:szCs w:val="22"/>
                    </w:rPr>
                    <w:t xml:space="preserve">Bristol-South Coast </w:t>
                  </w:r>
                </w:p>
              </w:tc>
              <w:tc>
                <w:tcPr>
                  <w:tcW w:w="2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sz w:val="22"/>
                      <w:szCs w:val="22"/>
                    </w:rPr>
                  </w:pPr>
                  <w:r>
                    <w:rPr>
                      <w:rFonts w:ascii="Calibri" w:eastAsia="Calibri" w:hAnsi="Calibri" w:cs="Calibri"/>
                      <w:sz w:val="22"/>
                      <w:szCs w:val="22"/>
                    </w:rPr>
                    <w:t>Semi-fast: hourly. Improvement of point-to-point timings of principal inter-urban services</w:t>
                  </w:r>
                </w:p>
              </w:tc>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pPr>
                  <w:r>
                    <w:rPr>
                      <w:rFonts w:ascii="Calibri" w:eastAsia="Calibri" w:hAnsi="Calibri" w:cs="Calibri"/>
                      <w:color w:val="000000"/>
                      <w:sz w:val="22"/>
                      <w:szCs w:val="22"/>
                    </w:rPr>
                    <w:t xml:space="preserve">This route has potential to enhance network connectivity, having potentially valuable connections with several other key routes, including north-south services at Bristol and a series of four important east-west routes at </w:t>
                  </w:r>
                  <w:r>
                    <w:rPr>
                      <w:rFonts w:ascii="Calibri" w:eastAsia="Calibri" w:hAnsi="Calibri" w:cs="Calibri"/>
                      <w:b/>
                      <w:color w:val="000000"/>
                      <w:sz w:val="22"/>
                      <w:szCs w:val="22"/>
                    </w:rPr>
                    <w:t xml:space="preserve">Bristol, Westbury, Salisbury, </w:t>
                  </w:r>
                  <w:r>
                    <w:rPr>
                      <w:rFonts w:ascii="Calibri" w:eastAsia="Calibri" w:hAnsi="Calibri" w:cs="Calibri"/>
                      <w:color w:val="000000"/>
                      <w:sz w:val="22"/>
                      <w:szCs w:val="22"/>
                    </w:rPr>
                    <w:t xml:space="preserve">and </w:t>
                  </w:r>
                  <w:r>
                    <w:rPr>
                      <w:rFonts w:ascii="Calibri" w:eastAsia="Calibri" w:hAnsi="Calibri" w:cs="Calibri"/>
                      <w:b/>
                      <w:color w:val="000000"/>
                      <w:sz w:val="22"/>
                      <w:szCs w:val="22"/>
                    </w:rPr>
                    <w:t>Southampton</w:t>
                  </w:r>
                  <w:r>
                    <w:rPr>
                      <w:rFonts w:ascii="Calibri" w:eastAsia="Calibri" w:hAnsi="Calibri" w:cs="Calibri"/>
                      <w:color w:val="000000"/>
                      <w:sz w:val="22"/>
                      <w:szCs w:val="22"/>
                    </w:rPr>
                    <w:t xml:space="preserve">. </w:t>
                  </w:r>
                </w:p>
              </w:tc>
            </w:tr>
            <w:tr w:rsidR="003477A5">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jc w:val="center"/>
                    <w:textAlignment w:val="auto"/>
                    <w:rPr>
                      <w:rFonts w:ascii="Calibri" w:eastAsia="Calibri" w:hAnsi="Calibri" w:cs="Calibri"/>
                      <w:b/>
                      <w:sz w:val="22"/>
                      <w:szCs w:val="22"/>
                    </w:rPr>
                  </w:pPr>
                  <w:r>
                    <w:rPr>
                      <w:rFonts w:ascii="Calibri" w:eastAsia="Calibri" w:hAnsi="Calibri" w:cs="Calibri"/>
                      <w:b/>
                      <w:sz w:val="22"/>
                      <w:szCs w:val="22"/>
                    </w:rPr>
                    <w:t>2</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b/>
                      <w:sz w:val="22"/>
                      <w:szCs w:val="22"/>
                    </w:rPr>
                  </w:pPr>
                  <w:r>
                    <w:rPr>
                      <w:rFonts w:ascii="Calibri" w:eastAsia="Calibri" w:hAnsi="Calibri" w:cs="Calibri"/>
                      <w:b/>
                      <w:sz w:val="22"/>
                      <w:szCs w:val="22"/>
                    </w:rPr>
                    <w:t xml:space="preserve">Bristol-Weymouth </w:t>
                  </w:r>
                </w:p>
              </w:tc>
              <w:tc>
                <w:tcPr>
                  <w:tcW w:w="2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numPr>
                      <w:ilvl w:val="0"/>
                      <w:numId w:val="13"/>
                    </w:numPr>
                    <w:suppressAutoHyphens w:val="0"/>
                    <w:textAlignment w:val="auto"/>
                    <w:rPr>
                      <w:rFonts w:ascii="Calibri" w:eastAsia="Calibri" w:hAnsi="Calibri" w:cs="Calibri"/>
                      <w:sz w:val="22"/>
                      <w:szCs w:val="22"/>
                    </w:rPr>
                  </w:pPr>
                  <w:r>
                    <w:rPr>
                      <w:rFonts w:ascii="Calibri" w:eastAsia="Calibri" w:hAnsi="Calibri" w:cs="Calibri"/>
                      <w:sz w:val="22"/>
                      <w:szCs w:val="22"/>
                    </w:rPr>
                    <w:t>Local service: hourly</w:t>
                  </w:r>
                </w:p>
                <w:p w:rsidR="003477A5" w:rsidRDefault="00A67CBF">
                  <w:pPr>
                    <w:pStyle w:val="ListParagraph"/>
                    <w:numPr>
                      <w:ilvl w:val="0"/>
                      <w:numId w:val="13"/>
                    </w:numPr>
                    <w:suppressAutoHyphens w:val="0"/>
                    <w:textAlignment w:val="auto"/>
                    <w:rPr>
                      <w:rFonts w:ascii="Calibri" w:eastAsia="Calibri" w:hAnsi="Calibri" w:cs="Calibri"/>
                      <w:sz w:val="22"/>
                      <w:szCs w:val="22"/>
                    </w:rPr>
                  </w:pPr>
                  <w:r>
                    <w:rPr>
                      <w:rFonts w:ascii="Calibri" w:eastAsia="Calibri" w:hAnsi="Calibri" w:cs="Calibri"/>
                      <w:sz w:val="22"/>
                      <w:szCs w:val="22"/>
                    </w:rPr>
                    <w:t>Semi-fast: hourly</w:t>
                  </w:r>
                </w:p>
              </w:tc>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pPr>
                  <w:r>
                    <w:rPr>
                      <w:rFonts w:ascii="Calibri" w:eastAsia="Calibri" w:hAnsi="Calibri" w:cs="Calibri"/>
                      <w:color w:val="000000"/>
                      <w:sz w:val="22"/>
                      <w:szCs w:val="22"/>
                    </w:rPr>
                    <w:t>Major growth in usage together with expansion of Yeovil. Road alternatives are inadequate. West of England Combined Authority aspiration for Bristol to Yeovil linked to Heart of Wessex Community Rail Partnership aspirations for an hourly semi-fast Bristol-Weymouth service. (See also item 11, concerning extension of London-Castle Cary service to Weymouth and Exeter/Torbay in alternating hours.) Signalling and line speeds improvements required between Pen Mill-Dorchester to solve route capacity/resilience limitations.</w:t>
                  </w:r>
                </w:p>
              </w:tc>
            </w:tr>
            <w:tr w:rsidR="003477A5">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jc w:val="center"/>
                    <w:textAlignment w:val="auto"/>
                    <w:rPr>
                      <w:rFonts w:ascii="Calibri" w:eastAsia="Calibri" w:hAnsi="Calibri" w:cs="Calibri"/>
                      <w:b/>
                      <w:sz w:val="22"/>
                      <w:szCs w:val="22"/>
                    </w:rPr>
                  </w:pPr>
                  <w:r>
                    <w:rPr>
                      <w:rFonts w:ascii="Calibri" w:eastAsia="Calibri" w:hAnsi="Calibri" w:cs="Calibri"/>
                      <w:b/>
                      <w:sz w:val="22"/>
                      <w:szCs w:val="22"/>
                    </w:rPr>
                    <w:t>3</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b/>
                      <w:sz w:val="22"/>
                      <w:szCs w:val="22"/>
                    </w:rPr>
                  </w:pPr>
                  <w:r>
                    <w:rPr>
                      <w:rFonts w:ascii="Calibri" w:eastAsia="Calibri" w:hAnsi="Calibri" w:cs="Calibri"/>
                      <w:b/>
                      <w:sz w:val="22"/>
                      <w:szCs w:val="22"/>
                    </w:rPr>
                    <w:t>Bristol-Bath-Westbury local</w:t>
                  </w:r>
                </w:p>
              </w:tc>
              <w:tc>
                <w:tcPr>
                  <w:tcW w:w="2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sz w:val="22"/>
                      <w:szCs w:val="22"/>
                    </w:rPr>
                  </w:pPr>
                  <w:r>
                    <w:rPr>
                      <w:rFonts w:ascii="Calibri" w:eastAsia="Calibri" w:hAnsi="Calibri" w:cs="Calibri"/>
                      <w:sz w:val="22"/>
                      <w:szCs w:val="22"/>
                    </w:rPr>
                    <w:t>Hourly</w:t>
                  </w:r>
                </w:p>
              </w:tc>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pPr>
                  <w:r>
                    <w:rPr>
                      <w:rFonts w:ascii="Calibri" w:eastAsia="Calibri" w:hAnsi="Calibri" w:cs="Calibri"/>
                      <w:sz w:val="22"/>
                      <w:szCs w:val="22"/>
                    </w:rPr>
                    <w:t xml:space="preserve">Part of Bristol travel to work area; serve by </w:t>
                  </w:r>
                  <w:r>
                    <w:rPr>
                      <w:rFonts w:ascii="Calibri" w:eastAsia="Calibri" w:hAnsi="Calibri" w:cs="Calibri"/>
                      <w:b/>
                      <w:sz w:val="22"/>
                      <w:szCs w:val="22"/>
                    </w:rPr>
                    <w:t>extension of MetroWest</w:t>
                  </w:r>
                  <w:r>
                    <w:rPr>
                      <w:rFonts w:ascii="Calibri" w:eastAsia="Calibri" w:hAnsi="Calibri" w:cs="Calibri"/>
                      <w:sz w:val="22"/>
                      <w:szCs w:val="22"/>
                    </w:rPr>
                    <w:t xml:space="preserve"> service from Bath.</w:t>
                  </w:r>
                </w:p>
              </w:tc>
            </w:tr>
            <w:tr w:rsidR="003477A5">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jc w:val="center"/>
                    <w:textAlignment w:val="auto"/>
                    <w:rPr>
                      <w:rFonts w:ascii="Calibri" w:eastAsia="Calibri" w:hAnsi="Calibri" w:cs="Calibri"/>
                      <w:b/>
                      <w:sz w:val="22"/>
                      <w:szCs w:val="22"/>
                    </w:rPr>
                  </w:pPr>
                  <w:r>
                    <w:rPr>
                      <w:rFonts w:ascii="Calibri" w:eastAsia="Calibri" w:hAnsi="Calibri" w:cs="Calibri"/>
                      <w:b/>
                      <w:sz w:val="22"/>
                      <w:szCs w:val="22"/>
                    </w:rPr>
                    <w:t>4</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b/>
                      <w:sz w:val="22"/>
                      <w:szCs w:val="22"/>
                    </w:rPr>
                  </w:pPr>
                  <w:r>
                    <w:rPr>
                      <w:rFonts w:ascii="Calibri" w:eastAsia="Calibri" w:hAnsi="Calibri" w:cs="Calibri"/>
                      <w:b/>
                      <w:sz w:val="22"/>
                      <w:szCs w:val="22"/>
                    </w:rPr>
                    <w:t>Bristol-Swindon-Oxford- (Milton Keynes/Bedford) semi-fast</w:t>
                  </w:r>
                </w:p>
              </w:tc>
              <w:tc>
                <w:tcPr>
                  <w:tcW w:w="2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sz w:val="22"/>
                      <w:szCs w:val="22"/>
                    </w:rPr>
                  </w:pPr>
                  <w:r>
                    <w:rPr>
                      <w:rFonts w:ascii="Calibri" w:eastAsia="Calibri" w:hAnsi="Calibri" w:cs="Calibri"/>
                      <w:sz w:val="22"/>
                      <w:szCs w:val="22"/>
                    </w:rPr>
                    <w:t xml:space="preserve">Reinstatement of service: hourly </w:t>
                  </w:r>
                </w:p>
              </w:tc>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pPr>
                  <w:r>
                    <w:rPr>
                      <w:rFonts w:ascii="Calibri" w:eastAsia="Calibri" w:hAnsi="Calibri" w:cs="Calibri"/>
                      <w:sz w:val="22"/>
                      <w:szCs w:val="22"/>
                    </w:rPr>
                    <w:t xml:space="preserve">Connectivity between the significant and fast expanding conurbations on this route is currently poor and the relevant strategic road network inadequate.  Access to Cross-Country services through </w:t>
                  </w:r>
                  <w:r>
                    <w:rPr>
                      <w:rFonts w:ascii="Calibri" w:eastAsia="Calibri" w:hAnsi="Calibri" w:cs="Calibri"/>
                      <w:b/>
                      <w:sz w:val="22"/>
                      <w:szCs w:val="22"/>
                    </w:rPr>
                    <w:t>Oxford</w:t>
                  </w:r>
                  <w:r>
                    <w:rPr>
                      <w:rFonts w:ascii="Calibri" w:eastAsia="Calibri" w:hAnsi="Calibri" w:cs="Calibri"/>
                      <w:sz w:val="22"/>
                      <w:szCs w:val="22"/>
                    </w:rPr>
                    <w:t xml:space="preserve"> requires intending passengers to double back from </w:t>
                  </w:r>
                  <w:r>
                    <w:rPr>
                      <w:rFonts w:ascii="Calibri" w:eastAsia="Calibri" w:hAnsi="Calibri" w:cs="Calibri"/>
                      <w:b/>
                      <w:sz w:val="22"/>
                      <w:szCs w:val="22"/>
                    </w:rPr>
                    <w:t>Reading</w:t>
                  </w:r>
                  <w:r>
                    <w:rPr>
                      <w:rFonts w:ascii="Calibri" w:eastAsia="Calibri" w:hAnsi="Calibri" w:cs="Calibri"/>
                      <w:sz w:val="22"/>
                      <w:szCs w:val="22"/>
                    </w:rPr>
                    <w:t xml:space="preserve">.  The service would be relevant to long-held and well-developed proposals new stations at </w:t>
                  </w:r>
                  <w:r>
                    <w:rPr>
                      <w:rFonts w:ascii="Calibri" w:eastAsia="Calibri" w:hAnsi="Calibri" w:cs="Calibri"/>
                      <w:b/>
                      <w:sz w:val="22"/>
                      <w:szCs w:val="22"/>
                    </w:rPr>
                    <w:t xml:space="preserve">Wantage &amp; Grove, Royal Wootton Bassett </w:t>
                  </w:r>
                  <w:r>
                    <w:rPr>
                      <w:rFonts w:ascii="Calibri" w:eastAsia="Calibri" w:hAnsi="Calibri" w:cs="Calibri"/>
                      <w:sz w:val="22"/>
                      <w:szCs w:val="22"/>
                    </w:rPr>
                    <w:t>and</w:t>
                  </w:r>
                  <w:r>
                    <w:rPr>
                      <w:rFonts w:ascii="Calibri" w:eastAsia="Calibri" w:hAnsi="Calibri" w:cs="Calibri"/>
                      <w:b/>
                      <w:sz w:val="22"/>
                      <w:szCs w:val="22"/>
                    </w:rPr>
                    <w:t xml:space="preserve"> Corsham</w:t>
                  </w:r>
                  <w:r>
                    <w:rPr>
                      <w:rFonts w:ascii="Calibri" w:eastAsia="Calibri" w:hAnsi="Calibri" w:cs="Calibri"/>
                      <w:sz w:val="22"/>
                      <w:szCs w:val="22"/>
                    </w:rPr>
                    <w:t>, (the latter two both forming part of the Swindon-M4 Growth Zone) all being associated with significant new housing proposals.  The case for a call at Didcot – which carries a time-penalty - should be evaluated (rather than using the Foxhall curve)</w:t>
                  </w:r>
                  <w:r>
                    <w:rPr>
                      <w:rStyle w:val="FootnoteReference"/>
                      <w:rFonts w:ascii="Calibri" w:eastAsia="Calibri" w:hAnsi="Calibri" w:cs="Calibri"/>
                      <w:sz w:val="22"/>
                      <w:szCs w:val="22"/>
                    </w:rPr>
                    <w:footnoteReference w:id="1"/>
                  </w:r>
                  <w:r>
                    <w:rPr>
                      <w:rFonts w:ascii="Calibri" w:eastAsia="Calibri" w:hAnsi="Calibri" w:cs="Calibri"/>
                      <w:sz w:val="22"/>
                      <w:szCs w:val="22"/>
                    </w:rPr>
                    <w:t>.  SLC Rail has identified £38.7m as the GVA of a twice-hourly service. The significance of the route will be enhanced by the opening of the East West Rail route east from Oxford.</w:t>
                  </w:r>
                </w:p>
              </w:tc>
            </w:tr>
            <w:tr w:rsidR="003477A5">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jc w:val="center"/>
                    <w:textAlignment w:val="auto"/>
                    <w:rPr>
                      <w:rFonts w:ascii="Calibri" w:eastAsia="Calibri" w:hAnsi="Calibri" w:cs="Calibri"/>
                      <w:b/>
                      <w:sz w:val="22"/>
                      <w:szCs w:val="22"/>
                    </w:rPr>
                  </w:pPr>
                  <w:r>
                    <w:rPr>
                      <w:rFonts w:ascii="Calibri" w:eastAsia="Calibri" w:hAnsi="Calibri" w:cs="Calibri"/>
                      <w:b/>
                      <w:sz w:val="22"/>
                      <w:szCs w:val="22"/>
                    </w:rPr>
                    <w:t>5</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b/>
                      <w:sz w:val="22"/>
                      <w:szCs w:val="22"/>
                    </w:rPr>
                  </w:pPr>
                  <w:r>
                    <w:rPr>
                      <w:rFonts w:ascii="Calibri" w:eastAsia="Calibri" w:hAnsi="Calibri" w:cs="Calibri"/>
                      <w:b/>
                      <w:sz w:val="22"/>
                      <w:szCs w:val="22"/>
                    </w:rPr>
                    <w:t>Bristol-Cardiff</w:t>
                  </w:r>
                </w:p>
              </w:tc>
              <w:tc>
                <w:tcPr>
                  <w:tcW w:w="2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numPr>
                      <w:ilvl w:val="0"/>
                      <w:numId w:val="14"/>
                    </w:numPr>
                    <w:suppressAutoHyphens w:val="0"/>
                    <w:textAlignment w:val="auto"/>
                    <w:rPr>
                      <w:rFonts w:ascii="Calibri" w:eastAsia="Calibri" w:hAnsi="Calibri" w:cs="Calibri"/>
                      <w:sz w:val="22"/>
                      <w:szCs w:val="22"/>
                    </w:rPr>
                  </w:pPr>
                  <w:r>
                    <w:rPr>
                      <w:rFonts w:ascii="Calibri" w:eastAsia="Calibri" w:hAnsi="Calibri" w:cs="Calibri"/>
                      <w:sz w:val="22"/>
                      <w:szCs w:val="22"/>
                    </w:rPr>
                    <w:t>Fast: twice hourly</w:t>
                  </w:r>
                </w:p>
                <w:p w:rsidR="003477A5" w:rsidRDefault="00A67CBF">
                  <w:pPr>
                    <w:pStyle w:val="ListParagraph"/>
                    <w:numPr>
                      <w:ilvl w:val="0"/>
                      <w:numId w:val="14"/>
                    </w:numPr>
                    <w:suppressAutoHyphens w:val="0"/>
                    <w:textAlignment w:val="auto"/>
                    <w:rPr>
                      <w:rFonts w:ascii="Calibri" w:eastAsia="Calibri" w:hAnsi="Calibri" w:cs="Calibri"/>
                      <w:sz w:val="22"/>
                      <w:szCs w:val="22"/>
                    </w:rPr>
                  </w:pPr>
                  <w:r>
                    <w:rPr>
                      <w:rFonts w:ascii="Calibri" w:eastAsia="Calibri" w:hAnsi="Calibri" w:cs="Calibri"/>
                      <w:sz w:val="22"/>
                      <w:szCs w:val="22"/>
                    </w:rPr>
                    <w:t>Local: hourly</w:t>
                  </w:r>
                </w:p>
              </w:tc>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pPr>
                  <w:r>
                    <w:rPr>
                      <w:rFonts w:ascii="Calibri" w:eastAsia="Calibri" w:hAnsi="Calibri" w:cs="Calibri"/>
                      <w:sz w:val="22"/>
                      <w:szCs w:val="22"/>
                    </w:rPr>
                    <w:t xml:space="preserve">The </w:t>
                  </w:r>
                  <w:r>
                    <w:rPr>
                      <w:rFonts w:ascii="Calibri" w:eastAsia="Calibri" w:hAnsi="Calibri" w:cs="Calibri"/>
                      <w:b/>
                      <w:sz w:val="22"/>
                      <w:szCs w:val="22"/>
                    </w:rPr>
                    <w:t>Bristol-South Wales corridor</w:t>
                  </w:r>
                  <w:r>
                    <w:rPr>
                      <w:rFonts w:ascii="Calibri" w:eastAsia="Calibri" w:hAnsi="Calibri" w:cs="Calibri"/>
                      <w:sz w:val="22"/>
                      <w:szCs w:val="22"/>
                    </w:rPr>
                    <w:t xml:space="preserve"> has experienced significant traffic growth, both rail and road, with a strong intercity flow between Bristol and Cardiff justifying a twice-hourly fast service with a 30’ journey time. </w:t>
                  </w:r>
                </w:p>
                <w:p w:rsidR="003477A5" w:rsidRDefault="00A67CBF">
                  <w:pPr>
                    <w:textAlignment w:val="auto"/>
                  </w:pPr>
                  <w:r>
                    <w:rPr>
                      <w:rFonts w:ascii="Calibri" w:eastAsia="Calibri" w:hAnsi="Calibri" w:cs="Calibri"/>
                      <w:sz w:val="22"/>
                      <w:szCs w:val="22"/>
                    </w:rPr>
                    <w:t xml:space="preserve">Local service to be provided by possible hourly extension of MetroWest half-hourly stopping service from </w:t>
                  </w:r>
                  <w:r>
                    <w:rPr>
                      <w:rFonts w:ascii="Calibri" w:eastAsia="Calibri" w:hAnsi="Calibri" w:cs="Calibri"/>
                      <w:b/>
                      <w:sz w:val="22"/>
                      <w:szCs w:val="22"/>
                    </w:rPr>
                    <w:t>Patchway</w:t>
                  </w:r>
                  <w:r>
                    <w:rPr>
                      <w:rFonts w:ascii="Calibri" w:eastAsia="Calibri" w:hAnsi="Calibri" w:cs="Calibri"/>
                      <w:sz w:val="22"/>
                      <w:szCs w:val="22"/>
                    </w:rPr>
                    <w:t>.</w:t>
                  </w:r>
                </w:p>
              </w:tc>
            </w:tr>
            <w:tr w:rsidR="003477A5">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jc w:val="center"/>
                    <w:textAlignment w:val="auto"/>
                    <w:rPr>
                      <w:rFonts w:ascii="Calibri" w:eastAsia="Calibri" w:hAnsi="Calibri" w:cs="Calibri"/>
                      <w:b/>
                      <w:sz w:val="22"/>
                      <w:szCs w:val="22"/>
                    </w:rPr>
                  </w:pPr>
                  <w:r>
                    <w:rPr>
                      <w:rFonts w:ascii="Calibri" w:eastAsia="Calibri" w:hAnsi="Calibri" w:cs="Calibri"/>
                      <w:b/>
                      <w:sz w:val="22"/>
                      <w:szCs w:val="22"/>
                    </w:rPr>
                    <w:t>6</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b/>
                      <w:sz w:val="22"/>
                      <w:szCs w:val="22"/>
                    </w:rPr>
                  </w:pPr>
                  <w:r>
                    <w:rPr>
                      <w:rFonts w:ascii="Calibri" w:eastAsia="Calibri" w:hAnsi="Calibri" w:cs="Calibri"/>
                      <w:b/>
                      <w:sz w:val="22"/>
                      <w:szCs w:val="22"/>
                    </w:rPr>
                    <w:t>Plymouth/Torbay--Exeter-Bristol-Birmingham-York/Manchester</w:t>
                  </w:r>
                </w:p>
              </w:tc>
              <w:tc>
                <w:tcPr>
                  <w:tcW w:w="2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numPr>
                      <w:ilvl w:val="0"/>
                      <w:numId w:val="15"/>
                    </w:numPr>
                    <w:suppressAutoHyphens w:val="0"/>
                    <w:textAlignment w:val="auto"/>
                  </w:pPr>
                  <w:r>
                    <w:rPr>
                      <w:rFonts w:ascii="Calibri" w:eastAsia="Calibri" w:hAnsi="Calibri" w:cs="Calibri"/>
                      <w:sz w:val="22"/>
                      <w:szCs w:val="22"/>
                    </w:rPr>
                    <w:t>Plymouth-Exeter St Davids, fast to Bristol Temple Meads-Bristol Parkway, fast to Birmingham New Street, principal stations to York for ECML: Hourly</w:t>
                  </w:r>
                </w:p>
                <w:p w:rsidR="003477A5" w:rsidRDefault="00A67CBF">
                  <w:pPr>
                    <w:pStyle w:val="ListParagraph"/>
                    <w:numPr>
                      <w:ilvl w:val="0"/>
                      <w:numId w:val="15"/>
                    </w:numPr>
                    <w:suppressAutoHyphens w:val="0"/>
                    <w:textAlignment w:val="auto"/>
                  </w:pPr>
                  <w:r>
                    <w:rPr>
                      <w:rFonts w:ascii="Calibri" w:eastAsia="Calibri" w:hAnsi="Calibri" w:cs="Calibri"/>
                      <w:sz w:val="22"/>
                      <w:szCs w:val="22"/>
                    </w:rPr>
                    <w:t>Paignton/Exeter St Davids-Tiverton-Taunton-Bridgwater-Bristol Temple Meads-Bristol Parkway-Cheltenham-Worcester Parkway-Birmingham New Street and principal stations to Manchester: Hourly</w:t>
                  </w:r>
                </w:p>
                <w:p w:rsidR="003477A5" w:rsidRDefault="00A67CBF">
                  <w:pPr>
                    <w:pStyle w:val="ListParagraph"/>
                    <w:numPr>
                      <w:ilvl w:val="0"/>
                      <w:numId w:val="15"/>
                    </w:numPr>
                    <w:suppressAutoHyphens w:val="0"/>
                    <w:textAlignment w:val="auto"/>
                  </w:pPr>
                  <w:r>
                    <w:rPr>
                      <w:rFonts w:ascii="Calibri" w:eastAsia="Calibri" w:hAnsi="Calibri" w:cs="Calibri"/>
                      <w:sz w:val="22"/>
                      <w:szCs w:val="22"/>
                    </w:rPr>
                    <w:t>Bristol Temple Meads-Bristol Parkway-Cheltenham-Worcester Parkway-Birmingham New Street and principal stations to York: Hourly</w:t>
                  </w:r>
                </w:p>
                <w:p w:rsidR="003477A5" w:rsidRDefault="00A67CBF">
                  <w:pPr>
                    <w:pStyle w:val="ListParagraph"/>
                    <w:numPr>
                      <w:ilvl w:val="0"/>
                      <w:numId w:val="15"/>
                    </w:numPr>
                    <w:suppressAutoHyphens w:val="0"/>
                    <w:textAlignment w:val="auto"/>
                  </w:pPr>
                  <w:r>
                    <w:rPr>
                      <w:rFonts w:ascii="Calibri" w:eastAsia="Calibri" w:hAnsi="Calibri" w:cs="Calibri"/>
                      <w:sz w:val="22"/>
                      <w:szCs w:val="22"/>
                    </w:rPr>
                    <w:t>Bristol Temple Meads-Bristol Parkway, fast to Birmingham New Street-Stoke-Manchester: Hourly</w:t>
                  </w:r>
                </w:p>
              </w:tc>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pPr>
                  <w:r>
                    <w:rPr>
                      <w:rFonts w:ascii="Calibri" w:eastAsia="Calibri" w:hAnsi="Calibri" w:cs="Calibri"/>
                      <w:sz w:val="22"/>
                      <w:szCs w:val="22"/>
                    </w:rPr>
                    <w:t xml:space="preserve">Certain services extended from Plymouth to </w:t>
                  </w:r>
                  <w:r>
                    <w:rPr>
                      <w:rFonts w:ascii="Calibri" w:eastAsia="Calibri" w:hAnsi="Calibri" w:cs="Calibri"/>
                      <w:b/>
                      <w:sz w:val="22"/>
                      <w:szCs w:val="22"/>
                    </w:rPr>
                    <w:t>Penzance</w:t>
                  </w:r>
                  <w:r>
                    <w:rPr>
                      <w:rFonts w:ascii="Calibri" w:eastAsia="Calibri" w:hAnsi="Calibri" w:cs="Calibri"/>
                      <w:sz w:val="22"/>
                      <w:szCs w:val="22"/>
                    </w:rPr>
                    <w:t xml:space="preserve"> and (in summer season) Newquay, and from York to </w:t>
                  </w:r>
                  <w:r>
                    <w:rPr>
                      <w:rFonts w:ascii="Calibri" w:eastAsia="Calibri" w:hAnsi="Calibri" w:cs="Calibri"/>
                      <w:b/>
                      <w:sz w:val="22"/>
                      <w:szCs w:val="22"/>
                    </w:rPr>
                    <w:t xml:space="preserve">Newcastle, Edinburgh </w:t>
                  </w:r>
                  <w:r>
                    <w:rPr>
                      <w:rFonts w:ascii="Calibri" w:eastAsia="Calibri" w:hAnsi="Calibri" w:cs="Calibri"/>
                      <w:sz w:val="22"/>
                      <w:szCs w:val="22"/>
                    </w:rPr>
                    <w:t xml:space="preserve">and </w:t>
                  </w:r>
                  <w:r>
                    <w:rPr>
                      <w:rFonts w:ascii="Calibri" w:eastAsia="Calibri" w:hAnsi="Calibri" w:cs="Calibri"/>
                      <w:b/>
                      <w:sz w:val="22"/>
                      <w:szCs w:val="22"/>
                    </w:rPr>
                    <w:t>Aberdeen</w:t>
                  </w:r>
                  <w:r>
                    <w:rPr>
                      <w:rFonts w:ascii="Calibri" w:eastAsia="Calibri" w:hAnsi="Calibri" w:cs="Calibri"/>
                      <w:sz w:val="22"/>
                      <w:szCs w:val="22"/>
                    </w:rPr>
                    <w:t xml:space="preserve"> to provide at least two through workings daily. Connectivity with HS2 at Birmingham will enhance the potential of this route</w:t>
                  </w:r>
                </w:p>
              </w:tc>
            </w:tr>
            <w:tr w:rsidR="003477A5">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jc w:val="center"/>
                    <w:textAlignment w:val="auto"/>
                    <w:rPr>
                      <w:rFonts w:ascii="Calibri" w:eastAsia="Calibri" w:hAnsi="Calibri" w:cs="Calibri"/>
                      <w:b/>
                      <w:sz w:val="22"/>
                      <w:szCs w:val="22"/>
                    </w:rPr>
                  </w:pPr>
                  <w:r>
                    <w:rPr>
                      <w:rFonts w:ascii="Calibri" w:eastAsia="Calibri" w:hAnsi="Calibri" w:cs="Calibri"/>
                      <w:b/>
                      <w:sz w:val="22"/>
                      <w:szCs w:val="22"/>
                    </w:rPr>
                    <w:t>7</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b/>
                      <w:sz w:val="22"/>
                      <w:szCs w:val="22"/>
                    </w:rPr>
                  </w:pPr>
                  <w:r>
                    <w:rPr>
                      <w:rFonts w:ascii="Calibri" w:eastAsia="Calibri" w:hAnsi="Calibri" w:cs="Calibri"/>
                      <w:b/>
                      <w:sz w:val="22"/>
                      <w:szCs w:val="22"/>
                    </w:rPr>
                    <w:t>Bristol-Gloucester/Cheltenham-Worcester</w:t>
                  </w:r>
                </w:p>
                <w:p w:rsidR="003477A5" w:rsidRDefault="003477A5">
                  <w:pPr>
                    <w:textAlignment w:val="auto"/>
                    <w:rPr>
                      <w:rFonts w:ascii="Calibri" w:eastAsia="Calibri" w:hAnsi="Calibri" w:cs="Calibri"/>
                      <w:b/>
                      <w:sz w:val="22"/>
                      <w:szCs w:val="22"/>
                    </w:rPr>
                  </w:pPr>
                </w:p>
              </w:tc>
              <w:tc>
                <w:tcPr>
                  <w:tcW w:w="2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ListParagraph"/>
                    <w:numPr>
                      <w:ilvl w:val="0"/>
                      <w:numId w:val="16"/>
                    </w:numPr>
                    <w:suppressAutoHyphens w:val="0"/>
                    <w:textAlignment w:val="auto"/>
                    <w:rPr>
                      <w:rFonts w:ascii="Calibri" w:eastAsia="Calibri" w:hAnsi="Calibri" w:cs="Calibri"/>
                      <w:sz w:val="22"/>
                      <w:szCs w:val="22"/>
                    </w:rPr>
                  </w:pPr>
                  <w:r>
                    <w:rPr>
                      <w:rFonts w:ascii="Calibri" w:eastAsia="Calibri" w:hAnsi="Calibri" w:cs="Calibri"/>
                      <w:sz w:val="22"/>
                      <w:szCs w:val="22"/>
                    </w:rPr>
                    <w:t>Semi-fast service: hourly</w:t>
                  </w:r>
                </w:p>
                <w:p w:rsidR="003477A5" w:rsidRDefault="00A67CBF">
                  <w:pPr>
                    <w:pStyle w:val="ListParagraph"/>
                    <w:numPr>
                      <w:ilvl w:val="0"/>
                      <w:numId w:val="16"/>
                    </w:numPr>
                    <w:suppressAutoHyphens w:val="0"/>
                    <w:textAlignment w:val="auto"/>
                  </w:pPr>
                  <w:r>
                    <w:rPr>
                      <w:rFonts w:ascii="Calibri" w:eastAsia="Calibri" w:hAnsi="Calibri" w:cs="Calibri"/>
                      <w:sz w:val="22"/>
                      <w:szCs w:val="22"/>
                    </w:rPr>
                    <w:t>Local: hourly, Bristol-Gloucester-Worcester.</w:t>
                  </w:r>
                </w:p>
              </w:tc>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pPr>
                  <w:r>
                    <w:rPr>
                      <w:rFonts w:ascii="Calibri" w:eastAsia="Calibri" w:hAnsi="Calibri" w:cs="Calibri"/>
                      <w:sz w:val="22"/>
                      <w:szCs w:val="22"/>
                    </w:rPr>
                    <w:t xml:space="preserve">Significant </w:t>
                  </w:r>
                  <w:r>
                    <w:rPr>
                      <w:rFonts w:ascii="Calibri" w:eastAsia="Calibri" w:hAnsi="Calibri" w:cs="Calibri"/>
                      <w:b/>
                      <w:sz w:val="22"/>
                      <w:szCs w:val="22"/>
                    </w:rPr>
                    <w:t>inter-urban corridor paralleled by M5</w:t>
                  </w:r>
                  <w:r>
                    <w:rPr>
                      <w:rFonts w:ascii="Calibri" w:eastAsia="Calibri" w:hAnsi="Calibri" w:cs="Calibri"/>
                      <w:sz w:val="22"/>
                      <w:szCs w:val="22"/>
                    </w:rPr>
                    <w:t xml:space="preserve">.    The current service </w:t>
                  </w:r>
                  <w:r>
                    <w:rPr>
                      <w:rFonts w:ascii="Calibri" w:eastAsia="Calibri" w:hAnsi="Calibri" w:cs="Calibri"/>
                      <w:b/>
                      <w:sz w:val="22"/>
                      <w:szCs w:val="22"/>
                    </w:rPr>
                    <w:t>Gloucester-Worcester</w:t>
                  </w:r>
                  <w:r>
                    <w:rPr>
                      <w:rFonts w:ascii="Calibri" w:eastAsia="Calibri" w:hAnsi="Calibri" w:cs="Calibri"/>
                      <w:sz w:val="22"/>
                      <w:szCs w:val="22"/>
                    </w:rPr>
                    <w:t xml:space="preserve"> service is inadequate, running every two hours.  Local service could be provided by extension of planned MetroWest stopping service northwards from </w:t>
                  </w:r>
                  <w:r>
                    <w:rPr>
                      <w:rFonts w:ascii="Calibri" w:eastAsia="Calibri" w:hAnsi="Calibri" w:cs="Calibri"/>
                      <w:b/>
                      <w:sz w:val="22"/>
                      <w:szCs w:val="22"/>
                    </w:rPr>
                    <w:t>Yate</w:t>
                  </w:r>
                  <w:r>
                    <w:rPr>
                      <w:rFonts w:ascii="Calibri" w:eastAsia="Calibri" w:hAnsi="Calibri" w:cs="Calibri"/>
                      <w:sz w:val="22"/>
                      <w:szCs w:val="22"/>
                    </w:rPr>
                    <w:t>. A study commissioned by Gloucestershire &amp; South Gloucestershire found a Benefit Cost Ratio of 4.72 for services to Gloucester, with stops at two new stations factored in.</w:t>
                  </w:r>
                </w:p>
              </w:tc>
            </w:tr>
            <w:tr w:rsidR="003477A5">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jc w:val="center"/>
                    <w:textAlignment w:val="auto"/>
                    <w:rPr>
                      <w:rFonts w:ascii="Calibri" w:eastAsia="Calibri" w:hAnsi="Calibri" w:cs="Calibri"/>
                      <w:b/>
                      <w:sz w:val="22"/>
                      <w:szCs w:val="22"/>
                    </w:rPr>
                  </w:pPr>
                  <w:r>
                    <w:rPr>
                      <w:rFonts w:ascii="Calibri" w:eastAsia="Calibri" w:hAnsi="Calibri" w:cs="Calibri"/>
                      <w:b/>
                      <w:sz w:val="22"/>
                      <w:szCs w:val="22"/>
                    </w:rPr>
                    <w:t>8</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b/>
                      <w:sz w:val="22"/>
                      <w:szCs w:val="22"/>
                    </w:rPr>
                  </w:pPr>
                  <w:r>
                    <w:rPr>
                      <w:rFonts w:ascii="Calibri" w:eastAsia="Calibri" w:hAnsi="Calibri" w:cs="Calibri"/>
                      <w:b/>
                      <w:sz w:val="22"/>
                      <w:szCs w:val="22"/>
                    </w:rPr>
                    <w:t xml:space="preserve">(Cardiff)-Gloucester-Worcester-(Nottingham) </w:t>
                  </w:r>
                </w:p>
              </w:tc>
              <w:tc>
                <w:tcPr>
                  <w:tcW w:w="2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sz w:val="22"/>
                      <w:szCs w:val="22"/>
                    </w:rPr>
                  </w:pPr>
                  <w:r>
                    <w:rPr>
                      <w:rFonts w:ascii="Calibri" w:eastAsia="Calibri" w:hAnsi="Calibri" w:cs="Calibri"/>
                      <w:sz w:val="22"/>
                      <w:szCs w:val="22"/>
                    </w:rPr>
                    <w:t>Semi-fast: Hourly Cardiff-Nottingham service with stops including Lydney, Gloucester, Cheltenham, Ashchurch, Worcester, Birmingham New Street</w:t>
                  </w:r>
                </w:p>
                <w:p w:rsidR="003477A5" w:rsidRDefault="00A67CBF">
                  <w:pPr>
                    <w:textAlignment w:val="auto"/>
                    <w:rPr>
                      <w:rFonts w:ascii="Calibri" w:eastAsia="Calibri" w:hAnsi="Calibri" w:cs="Calibri"/>
                      <w:sz w:val="22"/>
                      <w:szCs w:val="22"/>
                    </w:rPr>
                  </w:pPr>
                  <w:r>
                    <w:rPr>
                      <w:rFonts w:ascii="Calibri" w:eastAsia="Calibri" w:hAnsi="Calibri" w:cs="Calibri"/>
                      <w:sz w:val="22"/>
                      <w:szCs w:val="22"/>
                    </w:rPr>
                    <w:t>Local: Hourly</w:t>
                  </w:r>
                </w:p>
              </w:tc>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pPr>
                  <w:r>
                    <w:rPr>
                      <w:rFonts w:ascii="Calibri" w:eastAsia="Calibri" w:hAnsi="Calibri" w:cs="Calibri"/>
                      <w:b/>
                      <w:sz w:val="22"/>
                      <w:szCs w:val="22"/>
                    </w:rPr>
                    <w:t>Ashchurch</w:t>
                  </w:r>
                  <w:r>
                    <w:rPr>
                      <w:rFonts w:ascii="Calibri" w:eastAsia="Calibri" w:hAnsi="Calibri" w:cs="Calibri"/>
                      <w:sz w:val="22"/>
                      <w:szCs w:val="22"/>
                    </w:rPr>
                    <w:t xml:space="preserve"> for Tewkesbury’s importance is likely to grow significantly with the proposed sizable housing developments planned by the local authority.  The current service </w:t>
                  </w:r>
                  <w:r>
                    <w:rPr>
                      <w:rFonts w:ascii="Calibri" w:eastAsia="Calibri" w:hAnsi="Calibri" w:cs="Calibri"/>
                      <w:b/>
                      <w:sz w:val="22"/>
                      <w:szCs w:val="22"/>
                    </w:rPr>
                    <w:t>Gloucester-Worcester</w:t>
                  </w:r>
                  <w:r>
                    <w:rPr>
                      <w:rFonts w:ascii="Calibri" w:eastAsia="Calibri" w:hAnsi="Calibri" w:cs="Calibri"/>
                      <w:sz w:val="22"/>
                      <w:szCs w:val="22"/>
                    </w:rPr>
                    <w:t xml:space="preserve"> service is inadequate, running every two hours.  A service connecting Gloucester, Cheltenham and Worcester (combined populations of around half a million), with at least hourly calls at Ashchurch, is required.  There is potential to dovetail additional services with those of the West Midland franchise.</w:t>
                  </w:r>
                </w:p>
              </w:tc>
            </w:tr>
            <w:tr w:rsidR="003477A5">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jc w:val="center"/>
                    <w:textAlignment w:val="auto"/>
                    <w:rPr>
                      <w:rFonts w:ascii="Calibri" w:eastAsia="Calibri" w:hAnsi="Calibri" w:cs="Calibri"/>
                      <w:b/>
                      <w:sz w:val="22"/>
                      <w:szCs w:val="22"/>
                    </w:rPr>
                  </w:pPr>
                  <w:r>
                    <w:rPr>
                      <w:rFonts w:ascii="Calibri" w:eastAsia="Calibri" w:hAnsi="Calibri" w:cs="Calibri"/>
                      <w:b/>
                      <w:sz w:val="22"/>
                      <w:szCs w:val="22"/>
                    </w:rPr>
                    <w:t>9</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b/>
                      <w:sz w:val="22"/>
                      <w:szCs w:val="22"/>
                    </w:rPr>
                  </w:pPr>
                  <w:r>
                    <w:rPr>
                      <w:rFonts w:ascii="Calibri" w:eastAsia="Calibri" w:hAnsi="Calibri" w:cs="Calibri"/>
                      <w:b/>
                      <w:sz w:val="22"/>
                      <w:szCs w:val="22"/>
                    </w:rPr>
                    <w:t>MetroWest</w:t>
                  </w:r>
                </w:p>
              </w:tc>
              <w:tc>
                <w:tcPr>
                  <w:tcW w:w="2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sz w:val="22"/>
                      <w:szCs w:val="22"/>
                    </w:rPr>
                  </w:pPr>
                  <w:r>
                    <w:rPr>
                      <w:rFonts w:ascii="Calibri" w:eastAsia="Calibri" w:hAnsi="Calibri" w:cs="Calibri"/>
                      <w:sz w:val="22"/>
                      <w:szCs w:val="22"/>
                    </w:rPr>
                    <w:t>Half-hourly (with quarter-hourly to Clifton Down and hourly from Avonmouth to Severn Beach)</w:t>
                  </w:r>
                </w:p>
              </w:tc>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spacing w:before="100" w:after="100"/>
                    <w:textAlignment w:val="auto"/>
                  </w:pPr>
                  <w:r>
                    <w:rPr>
                      <w:rFonts w:ascii="Calibri" w:hAnsi="Calibri" w:cs="Calibri"/>
                      <w:color w:val="000000"/>
                      <w:sz w:val="22"/>
                      <w:szCs w:val="22"/>
                    </w:rPr>
                    <w:t xml:space="preserve">West of England combined authority foresees services whose basic pattern links </w:t>
                  </w:r>
                  <w:r>
                    <w:rPr>
                      <w:rFonts w:ascii="Calibri" w:hAnsi="Calibri" w:cs="Calibri"/>
                      <w:b/>
                      <w:color w:val="000000"/>
                      <w:sz w:val="22"/>
                      <w:szCs w:val="22"/>
                    </w:rPr>
                    <w:t xml:space="preserve">Bristol hub with </w:t>
                  </w:r>
                  <w:r>
                    <w:rPr>
                      <w:rFonts w:ascii="Calibri" w:hAnsi="Calibri" w:cs="Calibri"/>
                      <w:color w:val="000000"/>
                      <w:sz w:val="22"/>
                      <w:szCs w:val="22"/>
                    </w:rPr>
                    <w:t>Bath (see also item 3 re extension to</w:t>
                  </w:r>
                  <w:r>
                    <w:rPr>
                      <w:rFonts w:ascii="Calibri" w:hAnsi="Calibri" w:cs="Calibri"/>
                      <w:b/>
                      <w:color w:val="000000"/>
                      <w:sz w:val="22"/>
                      <w:szCs w:val="22"/>
                    </w:rPr>
                    <w:t xml:space="preserve"> Westbury</w:t>
                  </w:r>
                  <w:r>
                    <w:rPr>
                      <w:rFonts w:ascii="Calibri" w:hAnsi="Calibri" w:cs="Calibri"/>
                      <w:color w:val="000000"/>
                      <w:sz w:val="22"/>
                      <w:szCs w:val="22"/>
                    </w:rPr>
                    <w:t>)</w:t>
                  </w:r>
                  <w:r>
                    <w:rPr>
                      <w:rFonts w:ascii="Calibri" w:hAnsi="Calibri" w:cs="Calibri"/>
                      <w:b/>
                      <w:color w:val="000000"/>
                      <w:sz w:val="22"/>
                      <w:szCs w:val="22"/>
                    </w:rPr>
                    <w:t xml:space="preserve">, Avonmouth, Yate </w:t>
                  </w:r>
                  <w:r>
                    <w:rPr>
                      <w:rFonts w:ascii="Calibri" w:hAnsi="Calibri" w:cs="Calibri"/>
                      <w:color w:val="000000"/>
                      <w:sz w:val="22"/>
                      <w:szCs w:val="22"/>
                    </w:rPr>
                    <w:t xml:space="preserve">(see also item 7 re extension to </w:t>
                  </w:r>
                  <w:r>
                    <w:rPr>
                      <w:rFonts w:ascii="Calibri" w:hAnsi="Calibri" w:cs="Calibri"/>
                      <w:b/>
                      <w:color w:val="000000"/>
                      <w:sz w:val="22"/>
                      <w:szCs w:val="22"/>
                    </w:rPr>
                    <w:t>Gloucester</w:t>
                  </w:r>
                  <w:r>
                    <w:rPr>
                      <w:rFonts w:ascii="Calibri" w:hAnsi="Calibri" w:cs="Calibri"/>
                      <w:color w:val="000000"/>
                      <w:sz w:val="22"/>
                      <w:szCs w:val="22"/>
                    </w:rPr>
                    <w:t>),</w:t>
                  </w:r>
                  <w:r>
                    <w:rPr>
                      <w:rFonts w:ascii="Calibri" w:hAnsi="Calibri" w:cs="Calibri"/>
                      <w:b/>
                      <w:color w:val="000000"/>
                      <w:sz w:val="22"/>
                      <w:szCs w:val="22"/>
                    </w:rPr>
                    <w:t xml:space="preserve"> Portishead, Henbury, Patchway </w:t>
                  </w:r>
                  <w:r>
                    <w:rPr>
                      <w:rFonts w:ascii="Calibri" w:hAnsi="Calibri" w:cs="Calibri"/>
                      <w:color w:val="000000"/>
                      <w:sz w:val="22"/>
                      <w:szCs w:val="22"/>
                    </w:rPr>
                    <w:t>(see also item 5 re extension to</w:t>
                  </w:r>
                  <w:r>
                    <w:rPr>
                      <w:rFonts w:ascii="Calibri" w:hAnsi="Calibri" w:cs="Calibri"/>
                      <w:b/>
                      <w:color w:val="000000"/>
                      <w:sz w:val="22"/>
                      <w:szCs w:val="22"/>
                    </w:rPr>
                    <w:t xml:space="preserve"> Cardiff</w:t>
                  </w:r>
                  <w:r>
                    <w:rPr>
                      <w:rFonts w:ascii="Calibri" w:hAnsi="Calibri" w:cs="Calibri"/>
                      <w:color w:val="000000"/>
                      <w:sz w:val="22"/>
                      <w:szCs w:val="22"/>
                    </w:rPr>
                    <w:t>),</w:t>
                  </w:r>
                  <w:r>
                    <w:rPr>
                      <w:rFonts w:ascii="Calibri" w:hAnsi="Calibri" w:cs="Calibri"/>
                      <w:b/>
                      <w:color w:val="000000"/>
                      <w:sz w:val="22"/>
                      <w:szCs w:val="22"/>
                    </w:rPr>
                    <w:t xml:space="preserve"> and Weston-super-Mare</w:t>
                  </w:r>
                  <w:r>
                    <w:rPr>
                      <w:rFonts w:ascii="Calibri" w:hAnsi="Calibri" w:cs="Calibri"/>
                      <w:color w:val="000000"/>
                      <w:sz w:val="22"/>
                      <w:szCs w:val="22"/>
                    </w:rPr>
                    <w:t xml:space="preserve">.  </w:t>
                  </w:r>
                </w:p>
              </w:tc>
            </w:tr>
            <w:tr w:rsidR="003477A5">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jc w:val="center"/>
                    <w:textAlignment w:val="auto"/>
                    <w:rPr>
                      <w:rFonts w:ascii="Calibri" w:eastAsia="Calibri" w:hAnsi="Calibri" w:cs="Calibri"/>
                      <w:b/>
                      <w:sz w:val="22"/>
                      <w:szCs w:val="22"/>
                    </w:rPr>
                  </w:pPr>
                  <w:r>
                    <w:rPr>
                      <w:rFonts w:ascii="Calibri" w:eastAsia="Calibri" w:hAnsi="Calibri" w:cs="Calibri"/>
                      <w:b/>
                      <w:sz w:val="22"/>
                      <w:szCs w:val="22"/>
                    </w:rPr>
                    <w:t>10</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b/>
                      <w:sz w:val="22"/>
                      <w:szCs w:val="22"/>
                    </w:rPr>
                  </w:pPr>
                  <w:r>
                    <w:rPr>
                      <w:rFonts w:ascii="Calibri" w:eastAsia="Calibri" w:hAnsi="Calibri" w:cs="Calibri"/>
                      <w:b/>
                      <w:sz w:val="22"/>
                      <w:szCs w:val="22"/>
                    </w:rPr>
                    <w:t>Bristol-Exeter corridor</w:t>
                  </w:r>
                </w:p>
              </w:tc>
              <w:tc>
                <w:tcPr>
                  <w:tcW w:w="2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sz w:val="22"/>
                      <w:szCs w:val="22"/>
                    </w:rPr>
                  </w:pPr>
                  <w:r>
                    <w:rPr>
                      <w:rFonts w:ascii="Calibri" w:eastAsia="Calibri" w:hAnsi="Calibri" w:cs="Calibri"/>
                      <w:sz w:val="22"/>
                      <w:szCs w:val="22"/>
                    </w:rPr>
                    <w:t>Hourly fast and hourly semi-fast (see item 6);</w:t>
                  </w:r>
                </w:p>
                <w:p w:rsidR="003477A5" w:rsidRDefault="00A67CBF">
                  <w:pPr>
                    <w:textAlignment w:val="auto"/>
                    <w:rPr>
                      <w:rFonts w:ascii="Calibri" w:eastAsia="Calibri" w:hAnsi="Calibri" w:cs="Calibri"/>
                      <w:sz w:val="22"/>
                      <w:szCs w:val="22"/>
                    </w:rPr>
                  </w:pPr>
                  <w:r>
                    <w:rPr>
                      <w:rFonts w:ascii="Calibri" w:eastAsia="Calibri" w:hAnsi="Calibri" w:cs="Calibri"/>
                      <w:sz w:val="22"/>
                      <w:szCs w:val="22"/>
                    </w:rPr>
                    <w:t xml:space="preserve">Hourly semi-fast, Taunton-Exeter (extension of Berks &amp; Hants semi-fast service – see also item 11) </w:t>
                  </w:r>
                </w:p>
                <w:p w:rsidR="003477A5" w:rsidRDefault="00A67CBF">
                  <w:pPr>
                    <w:textAlignment w:val="auto"/>
                    <w:rPr>
                      <w:rFonts w:ascii="Calibri" w:eastAsia="Calibri" w:hAnsi="Calibri" w:cs="Calibri"/>
                      <w:sz w:val="22"/>
                      <w:szCs w:val="22"/>
                    </w:rPr>
                  </w:pPr>
                  <w:r>
                    <w:rPr>
                      <w:rFonts w:ascii="Calibri" w:eastAsia="Calibri" w:hAnsi="Calibri" w:cs="Calibri"/>
                      <w:sz w:val="22"/>
                      <w:szCs w:val="22"/>
                    </w:rPr>
                    <w:t>Local: Hourly through to Exeter Central (in addition to MetroWest provision for half-hourly service to Weston-super-Mare)</w:t>
                  </w:r>
                </w:p>
              </w:tc>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pPr>
                  <w:r>
                    <w:rPr>
                      <w:rFonts w:ascii="Calibri" w:eastAsia="Calibri" w:hAnsi="Calibri" w:cs="Calibri"/>
                      <w:sz w:val="22"/>
                      <w:szCs w:val="22"/>
                    </w:rPr>
                    <w:t xml:space="preserve">Currently there is inadequate inter-operator co-ordination of the inter-city service on this corridor, which should be rationalised into two trains per hour. Also, there are emerging plans for new stations at </w:t>
                  </w:r>
                  <w:r>
                    <w:rPr>
                      <w:rFonts w:ascii="Calibri" w:eastAsia="Calibri" w:hAnsi="Calibri" w:cs="Calibri"/>
                      <w:b/>
                      <w:sz w:val="22"/>
                      <w:szCs w:val="22"/>
                    </w:rPr>
                    <w:t>Cullompton</w:t>
                  </w:r>
                  <w:r>
                    <w:rPr>
                      <w:rFonts w:ascii="Calibri" w:eastAsia="Calibri" w:hAnsi="Calibri" w:cs="Calibri"/>
                      <w:sz w:val="22"/>
                      <w:szCs w:val="22"/>
                    </w:rPr>
                    <w:t xml:space="preserve"> and </w:t>
                  </w:r>
                  <w:r>
                    <w:rPr>
                      <w:rFonts w:ascii="Calibri" w:eastAsia="Calibri" w:hAnsi="Calibri" w:cs="Calibri"/>
                      <w:b/>
                      <w:sz w:val="22"/>
                      <w:szCs w:val="22"/>
                    </w:rPr>
                    <w:t>Wellington</w:t>
                  </w:r>
                  <w:r>
                    <w:rPr>
                      <w:rFonts w:ascii="Calibri" w:eastAsia="Calibri" w:hAnsi="Calibri" w:cs="Calibri"/>
                      <w:sz w:val="22"/>
                      <w:szCs w:val="22"/>
                    </w:rPr>
                    <w:t xml:space="preserve"> and mounting pressure for regular faster services from </w:t>
                  </w:r>
                  <w:r>
                    <w:rPr>
                      <w:rFonts w:ascii="Calibri" w:eastAsia="Calibri" w:hAnsi="Calibri" w:cs="Calibri"/>
                      <w:b/>
                      <w:sz w:val="22"/>
                      <w:szCs w:val="22"/>
                    </w:rPr>
                    <w:t>Bridgwater</w:t>
                  </w:r>
                  <w:r>
                    <w:rPr>
                      <w:rFonts w:ascii="Calibri" w:eastAsia="Calibri" w:hAnsi="Calibri" w:cs="Calibri"/>
                      <w:sz w:val="22"/>
                      <w:szCs w:val="22"/>
                    </w:rPr>
                    <w:t xml:space="preserve"> (population of over 40,000 with a catchment area of much of NE and NW Somerset, and the major manufacturing and commercial centre of the county and hub for the massive Hinckley Point nuclear project) than those presently provided by the stopping service via </w:t>
                  </w:r>
                  <w:r>
                    <w:rPr>
                      <w:rFonts w:ascii="Calibri" w:eastAsia="Calibri" w:hAnsi="Calibri" w:cs="Calibri"/>
                      <w:b/>
                      <w:sz w:val="22"/>
                      <w:szCs w:val="22"/>
                    </w:rPr>
                    <w:t>Weston-super-Mare</w:t>
                  </w:r>
                  <w:r>
                    <w:rPr>
                      <w:rFonts w:ascii="Calibri" w:eastAsia="Calibri" w:hAnsi="Calibri" w:cs="Calibri"/>
                      <w:sz w:val="22"/>
                      <w:szCs w:val="22"/>
                    </w:rPr>
                    <w:t xml:space="preserve">. Current timetable plans for December 2018 currently envisage a </w:t>
                  </w:r>
                  <w:r>
                    <w:rPr>
                      <w:rFonts w:ascii="Calibri" w:eastAsia="Calibri" w:hAnsi="Calibri" w:cs="Calibri"/>
                      <w:i/>
                      <w:sz w:val="22"/>
                      <w:szCs w:val="22"/>
                    </w:rPr>
                    <w:t>reduction</w:t>
                  </w:r>
                  <w:r>
                    <w:rPr>
                      <w:rFonts w:ascii="Calibri" w:eastAsia="Calibri" w:hAnsi="Calibri" w:cs="Calibri"/>
                      <w:sz w:val="22"/>
                      <w:szCs w:val="22"/>
                    </w:rPr>
                    <w:t xml:space="preserve"> in the frequency of this service.   </w:t>
                  </w:r>
                </w:p>
              </w:tc>
            </w:tr>
            <w:tr w:rsidR="003477A5">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jc w:val="center"/>
                    <w:textAlignment w:val="auto"/>
                    <w:rPr>
                      <w:rFonts w:ascii="Calibri" w:eastAsia="Calibri" w:hAnsi="Calibri" w:cs="Calibri"/>
                      <w:b/>
                      <w:sz w:val="22"/>
                      <w:szCs w:val="22"/>
                    </w:rPr>
                  </w:pPr>
                  <w:r>
                    <w:rPr>
                      <w:rFonts w:ascii="Calibri" w:eastAsia="Calibri" w:hAnsi="Calibri" w:cs="Calibri"/>
                      <w:b/>
                      <w:sz w:val="22"/>
                      <w:szCs w:val="22"/>
                    </w:rPr>
                    <w:t>11</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b/>
                      <w:sz w:val="22"/>
                      <w:szCs w:val="22"/>
                    </w:rPr>
                  </w:pPr>
                  <w:r>
                    <w:rPr>
                      <w:rFonts w:ascii="Calibri" w:eastAsia="Calibri" w:hAnsi="Calibri" w:cs="Calibri"/>
                      <w:b/>
                      <w:sz w:val="22"/>
                      <w:szCs w:val="22"/>
                    </w:rPr>
                    <w:t>London Paddington-Castle Cary-Weymouth/Exeter/Torbay</w:t>
                  </w:r>
                </w:p>
              </w:tc>
              <w:tc>
                <w:tcPr>
                  <w:tcW w:w="2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sz w:val="22"/>
                      <w:szCs w:val="22"/>
                    </w:rPr>
                  </w:pPr>
                  <w:r>
                    <w:rPr>
                      <w:rFonts w:ascii="Calibri" w:eastAsia="Calibri" w:hAnsi="Calibri" w:cs="Calibri"/>
                      <w:sz w:val="22"/>
                      <w:szCs w:val="22"/>
                    </w:rPr>
                    <w:t>Semi-fast service: hourly</w:t>
                  </w:r>
                </w:p>
              </w:tc>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pPr>
                  <w:r>
                    <w:rPr>
                      <w:rFonts w:ascii="Calibri" w:eastAsia="Calibri" w:hAnsi="Calibri" w:cs="Calibri"/>
                      <w:sz w:val="22"/>
                      <w:szCs w:val="22"/>
                    </w:rPr>
                    <w:t xml:space="preserve">The current incumbent’s proposal to introduce an hourly fast service between </w:t>
                  </w:r>
                  <w:r>
                    <w:rPr>
                      <w:rFonts w:ascii="Calibri" w:eastAsia="Calibri" w:hAnsi="Calibri" w:cs="Calibri"/>
                      <w:b/>
                      <w:sz w:val="22"/>
                      <w:szCs w:val="22"/>
                    </w:rPr>
                    <w:t>London-Exeter</w:t>
                  </w:r>
                  <w:r>
                    <w:rPr>
                      <w:rFonts w:ascii="Calibri" w:eastAsia="Calibri" w:hAnsi="Calibri" w:cs="Calibri"/>
                      <w:sz w:val="22"/>
                      <w:szCs w:val="22"/>
                    </w:rPr>
                    <w:t xml:space="preserve"> (and onwards to Plymouth) and semi-fast service every two hours should be amended to provide the semi-fast every hour, at least as far as </w:t>
                  </w:r>
                  <w:r>
                    <w:rPr>
                      <w:rFonts w:ascii="Calibri" w:eastAsia="Calibri" w:hAnsi="Calibri" w:cs="Calibri"/>
                      <w:b/>
                      <w:sz w:val="22"/>
                      <w:szCs w:val="22"/>
                    </w:rPr>
                    <w:t>Castle Cary</w:t>
                  </w:r>
                  <w:r>
                    <w:rPr>
                      <w:rFonts w:ascii="Calibri" w:eastAsia="Calibri" w:hAnsi="Calibri" w:cs="Calibri"/>
                      <w:sz w:val="22"/>
                      <w:szCs w:val="22"/>
                    </w:rPr>
                    <w:t xml:space="preserve">, from where it might be routed in alternate hours to </w:t>
                  </w:r>
                  <w:r>
                    <w:rPr>
                      <w:rFonts w:ascii="Calibri" w:eastAsia="Calibri" w:hAnsi="Calibri" w:cs="Calibri"/>
                      <w:b/>
                      <w:sz w:val="22"/>
                      <w:szCs w:val="22"/>
                    </w:rPr>
                    <w:t>Weymouth</w:t>
                  </w:r>
                  <w:r>
                    <w:rPr>
                      <w:rFonts w:ascii="Calibri" w:eastAsia="Calibri" w:hAnsi="Calibri" w:cs="Calibri"/>
                      <w:sz w:val="22"/>
                      <w:szCs w:val="22"/>
                    </w:rPr>
                    <w:t xml:space="preserve"> (off-setting perceptions of under-provision of connectivity between London and West Dorset and providing a link to HS2 at Old Oak Common) and </w:t>
                  </w:r>
                  <w:r>
                    <w:rPr>
                      <w:rFonts w:ascii="Calibri" w:eastAsia="Calibri" w:hAnsi="Calibri" w:cs="Calibri"/>
                      <w:b/>
                      <w:sz w:val="22"/>
                      <w:szCs w:val="22"/>
                    </w:rPr>
                    <w:t>Taunton-Exeter-Torbay</w:t>
                  </w:r>
                  <w:r>
                    <w:rPr>
                      <w:rFonts w:ascii="Calibri" w:eastAsia="Calibri" w:hAnsi="Calibri" w:cs="Calibri"/>
                      <w:sz w:val="22"/>
                      <w:szCs w:val="22"/>
                    </w:rPr>
                    <w:t xml:space="preserve">.  It would maintain connectivity of </w:t>
                  </w:r>
                  <w:r>
                    <w:rPr>
                      <w:rFonts w:ascii="Calibri" w:eastAsia="Calibri" w:hAnsi="Calibri" w:cs="Calibri"/>
                      <w:b/>
                      <w:sz w:val="22"/>
                      <w:szCs w:val="22"/>
                    </w:rPr>
                    <w:t>Westbury</w:t>
                  </w:r>
                  <w:r>
                    <w:rPr>
                      <w:rFonts w:ascii="Calibri" w:eastAsia="Calibri" w:hAnsi="Calibri" w:cs="Calibri"/>
                      <w:sz w:val="22"/>
                      <w:szCs w:val="22"/>
                    </w:rPr>
                    <w:t xml:space="preserve"> (227k interchanges in 2015-6) and link major populations at </w:t>
                  </w:r>
                  <w:r>
                    <w:rPr>
                      <w:rFonts w:ascii="Calibri" w:eastAsia="Calibri" w:hAnsi="Calibri" w:cs="Calibri"/>
                      <w:b/>
                      <w:sz w:val="22"/>
                      <w:szCs w:val="22"/>
                    </w:rPr>
                    <w:t>Frome</w:t>
                  </w:r>
                  <w:r>
                    <w:rPr>
                      <w:rFonts w:ascii="Calibri" w:eastAsia="Calibri" w:hAnsi="Calibri" w:cs="Calibri"/>
                      <w:sz w:val="22"/>
                      <w:szCs w:val="22"/>
                    </w:rPr>
                    <w:t xml:space="preserve"> and </w:t>
                  </w:r>
                  <w:r>
                    <w:rPr>
                      <w:rFonts w:ascii="Calibri" w:eastAsia="Calibri" w:hAnsi="Calibri" w:cs="Calibri"/>
                      <w:b/>
                      <w:sz w:val="22"/>
                      <w:szCs w:val="22"/>
                    </w:rPr>
                    <w:t>Devizes</w:t>
                  </w:r>
                  <w:r>
                    <w:rPr>
                      <w:rFonts w:ascii="Calibri" w:eastAsia="Calibri" w:hAnsi="Calibri" w:cs="Calibri"/>
                      <w:sz w:val="22"/>
                      <w:szCs w:val="22"/>
                    </w:rPr>
                    <w:t xml:space="preserve"> (new parkway) – both rural hinterland hubs.  The service might be operated as an extension of certain </w:t>
                  </w:r>
                  <w:r>
                    <w:rPr>
                      <w:rFonts w:ascii="Calibri" w:eastAsia="Calibri" w:hAnsi="Calibri" w:cs="Calibri"/>
                      <w:b/>
                      <w:sz w:val="22"/>
                      <w:szCs w:val="22"/>
                    </w:rPr>
                    <w:t>Bedwyn</w:t>
                  </w:r>
                  <w:r>
                    <w:rPr>
                      <w:rFonts w:ascii="Calibri" w:eastAsia="Calibri" w:hAnsi="Calibri" w:cs="Calibri"/>
                      <w:sz w:val="22"/>
                      <w:szCs w:val="22"/>
                    </w:rPr>
                    <w:t xml:space="preserve"> services.</w:t>
                  </w:r>
                </w:p>
              </w:tc>
            </w:tr>
            <w:tr w:rsidR="003477A5">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jc w:val="center"/>
                    <w:textAlignment w:val="auto"/>
                    <w:rPr>
                      <w:rFonts w:ascii="Calibri" w:eastAsia="Calibri" w:hAnsi="Calibri" w:cs="Calibri"/>
                      <w:b/>
                      <w:sz w:val="22"/>
                      <w:szCs w:val="22"/>
                    </w:rPr>
                  </w:pPr>
                  <w:r>
                    <w:rPr>
                      <w:rFonts w:ascii="Calibri" w:eastAsia="Calibri" w:hAnsi="Calibri" w:cs="Calibri"/>
                      <w:b/>
                      <w:sz w:val="22"/>
                      <w:szCs w:val="22"/>
                    </w:rPr>
                    <w:t>12</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b/>
                      <w:sz w:val="22"/>
                      <w:szCs w:val="22"/>
                    </w:rPr>
                  </w:pPr>
                  <w:r>
                    <w:rPr>
                      <w:rFonts w:ascii="Calibri" w:eastAsia="Calibri" w:hAnsi="Calibri" w:cs="Calibri"/>
                      <w:b/>
                      <w:sz w:val="22"/>
                      <w:szCs w:val="22"/>
                    </w:rPr>
                    <w:t>Devon Metro</w:t>
                  </w:r>
                </w:p>
              </w:tc>
              <w:tc>
                <w:tcPr>
                  <w:tcW w:w="2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pPr>
                  <w:r>
                    <w:rPr>
                      <w:rFonts w:ascii="Calibri" w:eastAsia="Calibri" w:hAnsi="Calibri" w:cs="Calibri"/>
                      <w:sz w:val="22"/>
                      <w:szCs w:val="22"/>
                    </w:rPr>
                    <w:t>General service enhancement in Exeter and Torbay travel-to-work areas and extension of Barnstaple-Exeter service to Axminster</w:t>
                  </w:r>
                  <w:r>
                    <w:rPr>
                      <w:rStyle w:val="FootnoteReference"/>
                      <w:rFonts w:ascii="Calibri" w:eastAsia="Calibri" w:hAnsi="Calibri" w:cs="Calibri"/>
                      <w:sz w:val="22"/>
                      <w:szCs w:val="22"/>
                    </w:rPr>
                    <w:footnoteReference w:id="2"/>
                  </w:r>
                </w:p>
              </w:tc>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NoSpacing"/>
                  </w:pPr>
                  <w:r>
                    <w:rPr>
                      <w:rFonts w:cs="Calibri"/>
                    </w:rPr>
                    <w:t xml:space="preserve">Road congestion issues in the rapidly expanding Exeter travel to work area give an average city-centre peak-hour speed of 4.6mph. The Devon Metro concept is seen as providing credible relief. Skip-stop service patterns need to be eliminated from the </w:t>
                  </w:r>
                  <w:r>
                    <w:rPr>
                      <w:rFonts w:cs="Calibri"/>
                      <w:b/>
                    </w:rPr>
                    <w:t>Exmouth-Exeter-Paignton</w:t>
                  </w:r>
                  <w:r>
                    <w:rPr>
                      <w:rFonts w:cs="Calibri"/>
                    </w:rPr>
                    <w:t xml:space="preserve"> service: </w:t>
                  </w:r>
                  <w:r>
                    <w:rPr>
                      <w:rFonts w:cs="Calibri"/>
                      <w:b/>
                    </w:rPr>
                    <w:t>Polsloe Bridge</w:t>
                  </w:r>
                  <w:r>
                    <w:rPr>
                      <w:rFonts w:cs="Calibri"/>
                    </w:rPr>
                    <w:t xml:space="preserve"> and </w:t>
                  </w:r>
                  <w:r>
                    <w:rPr>
                      <w:rFonts w:cs="Calibri"/>
                      <w:b/>
                    </w:rPr>
                    <w:t>Exeter St Thomas</w:t>
                  </w:r>
                  <w:r>
                    <w:rPr>
                      <w:rFonts w:cs="Calibri"/>
                    </w:rPr>
                    <w:t xml:space="preserve"> have annual footfalls of 120k and 220k respectively, numbers having doubled in the last seven years.  Additional stops at the new stations being built at </w:t>
                  </w:r>
                  <w:r>
                    <w:rPr>
                      <w:rFonts w:cs="Calibri"/>
                      <w:b/>
                    </w:rPr>
                    <w:t>Marsh Barton</w:t>
                  </w:r>
                  <w:r>
                    <w:rPr>
                      <w:rFonts w:cs="Calibri"/>
                    </w:rPr>
                    <w:t xml:space="preserve"> and </w:t>
                  </w:r>
                  <w:r>
                    <w:rPr>
                      <w:rFonts w:cs="Calibri"/>
                      <w:b/>
                    </w:rPr>
                    <w:t>Edginswell</w:t>
                  </w:r>
                  <w:r>
                    <w:rPr>
                      <w:rFonts w:cs="Calibri"/>
                    </w:rPr>
                    <w:t xml:space="preserve"> will also require serving.  The long-proposed extension of </w:t>
                  </w:r>
                  <w:r>
                    <w:rPr>
                      <w:rFonts w:cs="Calibri"/>
                      <w:b/>
                    </w:rPr>
                    <w:t>Barnstaple-Exeter</w:t>
                  </w:r>
                  <w:r>
                    <w:rPr>
                      <w:rFonts w:cs="Calibri"/>
                    </w:rPr>
                    <w:t xml:space="preserve"> services to </w:t>
                  </w:r>
                  <w:r>
                    <w:rPr>
                      <w:rFonts w:cs="Calibri"/>
                      <w:b/>
                    </w:rPr>
                    <w:t>Axminster</w:t>
                  </w:r>
                  <w:r>
                    <w:rPr>
                      <w:rFonts w:cs="Calibri"/>
                    </w:rPr>
                    <w:t xml:space="preserve"> is intended to serve the major housing developments in east Devon and the Exeter commuter market and funding is being sought actively for a GRIP3 study of passing loop requirements to enable an hourly service.  Line speed and service frequency improvements are also being sought for the Barnstaple-Exeter line, Barnstaple currently recording a footfall of over 400k.  The Torridge &amp; North Devon draft Local Plan is proposing an additional 16,500 houses by 2031. Torbay Rail Users are pressing for a </w:t>
                  </w:r>
                  <w:r>
                    <w:rPr>
                      <w:rFonts w:cs="Calibri"/>
                      <w:b/>
                    </w:rPr>
                    <w:t>Torbay-Plymouth</w:t>
                  </w:r>
                  <w:r>
                    <w:rPr>
                      <w:rFonts w:cs="Calibri"/>
                    </w:rPr>
                    <w:t xml:space="preserve"> direct service (via Newton Abbott).  They argue that there in nowhere else on the national rail network that two conurbations the size of Plymouth and Torbay, with a linking tracks, and only 30 miles apart have no direct services.</w:t>
                  </w:r>
                </w:p>
                <w:p w:rsidR="003477A5" w:rsidRDefault="00A67CBF">
                  <w:pPr>
                    <w:textAlignment w:val="auto"/>
                  </w:pPr>
                  <w:r>
                    <w:rPr>
                      <w:rFonts w:ascii="Calibri" w:hAnsi="Calibri" w:cs="Calibri"/>
                      <w:sz w:val="22"/>
                      <w:szCs w:val="22"/>
                      <w:lang w:eastAsia="en-US"/>
                    </w:rPr>
                    <w:t>A direct service could do the journey in 50’. Changing trains results in additional journey time averaging 20’.</w:t>
                  </w:r>
                </w:p>
              </w:tc>
            </w:tr>
            <w:tr w:rsidR="003477A5">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jc w:val="center"/>
                    <w:textAlignment w:val="auto"/>
                    <w:rPr>
                      <w:rFonts w:ascii="Calibri" w:eastAsia="Calibri" w:hAnsi="Calibri" w:cs="Calibri"/>
                      <w:b/>
                      <w:sz w:val="22"/>
                      <w:szCs w:val="22"/>
                    </w:rPr>
                  </w:pPr>
                  <w:r>
                    <w:rPr>
                      <w:rFonts w:ascii="Calibri" w:eastAsia="Calibri" w:hAnsi="Calibri" w:cs="Calibri"/>
                      <w:b/>
                      <w:sz w:val="22"/>
                      <w:szCs w:val="22"/>
                    </w:rPr>
                    <w:t>13</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b/>
                      <w:sz w:val="22"/>
                      <w:szCs w:val="22"/>
                    </w:rPr>
                  </w:pPr>
                  <w:r>
                    <w:rPr>
                      <w:rFonts w:ascii="Calibri" w:eastAsia="Calibri" w:hAnsi="Calibri" w:cs="Calibri"/>
                      <w:b/>
                      <w:sz w:val="22"/>
                      <w:szCs w:val="22"/>
                    </w:rPr>
                    <w:t>Torbay line semi-fast through services</w:t>
                  </w:r>
                </w:p>
              </w:tc>
              <w:tc>
                <w:tcPr>
                  <w:tcW w:w="2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sz w:val="22"/>
                      <w:szCs w:val="22"/>
                    </w:rPr>
                  </w:pPr>
                  <w:r>
                    <w:rPr>
                      <w:rFonts w:ascii="Calibri" w:eastAsia="Calibri" w:hAnsi="Calibri" w:cs="Calibri"/>
                      <w:sz w:val="22"/>
                      <w:szCs w:val="22"/>
                    </w:rPr>
                    <w:t>Enhancement of existing through service provision from London and north of Bristol (see, also, items 6 &amp; 11)</w:t>
                  </w:r>
                </w:p>
              </w:tc>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pPr>
                  <w:r>
                    <w:rPr>
                      <w:rFonts w:ascii="Calibri" w:eastAsia="Calibri" w:hAnsi="Calibri" w:cs="Calibri"/>
                      <w:sz w:val="22"/>
                      <w:szCs w:val="22"/>
                    </w:rPr>
                    <w:t xml:space="preserve">With a population that is significantly larger than that of the city of Exeter, </w:t>
                  </w:r>
                  <w:r>
                    <w:rPr>
                      <w:rFonts w:ascii="Calibri" w:eastAsia="Calibri" w:hAnsi="Calibri" w:cs="Calibri"/>
                      <w:b/>
                      <w:sz w:val="22"/>
                      <w:szCs w:val="22"/>
                    </w:rPr>
                    <w:t xml:space="preserve">Torbay </w:t>
                  </w:r>
                  <w:r>
                    <w:rPr>
                      <w:rFonts w:ascii="Calibri" w:eastAsia="Calibri" w:hAnsi="Calibri" w:cs="Calibri"/>
                      <w:sz w:val="22"/>
                      <w:szCs w:val="22"/>
                    </w:rPr>
                    <w:t>is a staple of the domestic overnight stay market with around one million staying visitors annually and over three million day visitors</w:t>
                  </w:r>
                  <w:r>
                    <w:rPr>
                      <w:rStyle w:val="FootnoteReference"/>
                      <w:rFonts w:ascii="Calibri" w:eastAsia="Calibri" w:hAnsi="Calibri" w:cs="Calibri"/>
                      <w:sz w:val="22"/>
                      <w:szCs w:val="22"/>
                    </w:rPr>
                    <w:footnoteReference w:id="3"/>
                  </w:r>
                  <w:r>
                    <w:rPr>
                      <w:rFonts w:ascii="Calibri" w:eastAsia="Calibri" w:hAnsi="Calibri" w:cs="Calibri"/>
                      <w:sz w:val="22"/>
                      <w:szCs w:val="22"/>
                    </w:rPr>
                    <w:t>. Traditionally an important destination for visitors from north of Bristol.  Strong pressure from local interests for enhanced through services from the West Midlands and from London.  (See also item 11.)</w:t>
                  </w:r>
                </w:p>
              </w:tc>
            </w:tr>
            <w:tr w:rsidR="003477A5">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jc w:val="center"/>
                    <w:textAlignment w:val="auto"/>
                    <w:rPr>
                      <w:rFonts w:ascii="Calibri" w:eastAsia="Calibri" w:hAnsi="Calibri" w:cs="Calibri"/>
                      <w:b/>
                      <w:sz w:val="22"/>
                      <w:szCs w:val="22"/>
                    </w:rPr>
                  </w:pPr>
                  <w:r>
                    <w:rPr>
                      <w:rFonts w:ascii="Calibri" w:eastAsia="Calibri" w:hAnsi="Calibri" w:cs="Calibri"/>
                      <w:b/>
                      <w:sz w:val="22"/>
                      <w:szCs w:val="22"/>
                    </w:rPr>
                    <w:t>14</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b/>
                      <w:sz w:val="22"/>
                      <w:szCs w:val="22"/>
                    </w:rPr>
                  </w:pPr>
                  <w:r>
                    <w:rPr>
                      <w:rFonts w:ascii="Calibri" w:eastAsia="Calibri" w:hAnsi="Calibri" w:cs="Calibri"/>
                      <w:b/>
                      <w:sz w:val="22"/>
                      <w:szCs w:val="22"/>
                    </w:rPr>
                    <w:t>Okehampton-Exeter</w:t>
                  </w:r>
                </w:p>
              </w:tc>
              <w:tc>
                <w:tcPr>
                  <w:tcW w:w="2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sz w:val="22"/>
                      <w:szCs w:val="22"/>
                    </w:rPr>
                  </w:pPr>
                  <w:r>
                    <w:rPr>
                      <w:rFonts w:ascii="Calibri" w:eastAsia="Calibri" w:hAnsi="Calibri" w:cs="Calibri"/>
                      <w:sz w:val="22"/>
                      <w:szCs w:val="22"/>
                    </w:rPr>
                    <w:t>Hourly daily service</w:t>
                  </w:r>
                </w:p>
              </w:tc>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pPr>
                  <w:r>
                    <w:rPr>
                      <w:rFonts w:ascii="Calibri" w:eastAsia="Calibri" w:hAnsi="Calibri" w:cs="Calibri"/>
                      <w:sz w:val="22"/>
                      <w:szCs w:val="22"/>
                    </w:rPr>
                    <w:t xml:space="preserve">Extant infrastructure used for weekend leisure services.  Addresses peripherality issues of </w:t>
                  </w:r>
                  <w:r>
                    <w:rPr>
                      <w:rFonts w:ascii="Calibri" w:eastAsia="Calibri" w:hAnsi="Calibri" w:cs="Calibri"/>
                      <w:b/>
                      <w:sz w:val="22"/>
                      <w:szCs w:val="22"/>
                    </w:rPr>
                    <w:t>North Cornwall, West Devon and North-West Devon</w:t>
                  </w:r>
                  <w:r>
                    <w:rPr>
                      <w:rFonts w:ascii="Calibri" w:eastAsia="Calibri" w:hAnsi="Calibri" w:cs="Calibri"/>
                      <w:sz w:val="22"/>
                      <w:szCs w:val="22"/>
                    </w:rPr>
                    <w:t xml:space="preserve"> (parts of Torridge). Secretary of State support.</w:t>
                  </w:r>
                </w:p>
              </w:tc>
            </w:tr>
            <w:tr w:rsidR="003477A5">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jc w:val="center"/>
                    <w:textAlignment w:val="auto"/>
                    <w:rPr>
                      <w:rFonts w:ascii="Calibri" w:eastAsia="Calibri" w:hAnsi="Calibri" w:cs="Calibri"/>
                      <w:b/>
                      <w:sz w:val="22"/>
                      <w:szCs w:val="22"/>
                    </w:rPr>
                  </w:pPr>
                  <w:r>
                    <w:rPr>
                      <w:rFonts w:ascii="Calibri" w:eastAsia="Calibri" w:hAnsi="Calibri" w:cs="Calibri"/>
                      <w:b/>
                      <w:sz w:val="22"/>
                      <w:szCs w:val="22"/>
                    </w:rPr>
                    <w:t>15</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b/>
                      <w:sz w:val="22"/>
                      <w:szCs w:val="22"/>
                    </w:rPr>
                  </w:pPr>
                  <w:r>
                    <w:rPr>
                      <w:rFonts w:ascii="Calibri" w:eastAsia="Calibri" w:hAnsi="Calibri" w:cs="Calibri"/>
                      <w:b/>
                      <w:sz w:val="22"/>
                      <w:szCs w:val="22"/>
                    </w:rPr>
                    <w:t>Tavistock-Bere Alston-(Plymouth)</w:t>
                  </w:r>
                </w:p>
              </w:tc>
              <w:tc>
                <w:tcPr>
                  <w:tcW w:w="2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sz w:val="22"/>
                      <w:szCs w:val="22"/>
                    </w:rPr>
                  </w:pPr>
                  <w:r>
                    <w:rPr>
                      <w:rFonts w:ascii="Calibri" w:eastAsia="Calibri" w:hAnsi="Calibri" w:cs="Calibri"/>
                      <w:sz w:val="22"/>
                      <w:szCs w:val="22"/>
                    </w:rPr>
                    <w:t>Hourly</w:t>
                  </w:r>
                </w:p>
              </w:tc>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sz w:val="22"/>
                      <w:szCs w:val="22"/>
                    </w:rPr>
                  </w:pPr>
                  <w:r>
                    <w:rPr>
                      <w:rFonts w:ascii="Calibri" w:eastAsia="Calibri" w:hAnsi="Calibri" w:cs="Calibri"/>
                      <w:sz w:val="22"/>
                      <w:szCs w:val="22"/>
                    </w:rPr>
                    <w:t>Re-opening of the railway line to improve access to NE Cornwall and travel to work opportunities to Plymouth. Devon CC are leading on feasibility and land purchase. Reopening planned by 2024.</w:t>
                  </w:r>
                </w:p>
              </w:tc>
            </w:tr>
            <w:tr w:rsidR="003477A5">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jc w:val="center"/>
                    <w:textAlignment w:val="auto"/>
                    <w:rPr>
                      <w:rFonts w:ascii="Calibri" w:eastAsia="Calibri" w:hAnsi="Calibri" w:cs="Calibri"/>
                      <w:b/>
                      <w:sz w:val="22"/>
                      <w:szCs w:val="22"/>
                    </w:rPr>
                  </w:pPr>
                  <w:r>
                    <w:rPr>
                      <w:rFonts w:ascii="Calibri" w:eastAsia="Calibri" w:hAnsi="Calibri" w:cs="Calibri"/>
                      <w:b/>
                      <w:sz w:val="22"/>
                      <w:szCs w:val="22"/>
                    </w:rPr>
                    <w:t>16</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b/>
                      <w:sz w:val="22"/>
                      <w:szCs w:val="22"/>
                    </w:rPr>
                  </w:pPr>
                  <w:r>
                    <w:rPr>
                      <w:rFonts w:ascii="Calibri" w:eastAsia="Calibri" w:hAnsi="Calibri" w:cs="Calibri"/>
                      <w:b/>
                      <w:sz w:val="22"/>
                      <w:szCs w:val="22"/>
                    </w:rPr>
                    <w:t>Cornish Main Line</w:t>
                  </w:r>
                </w:p>
              </w:tc>
              <w:tc>
                <w:tcPr>
                  <w:tcW w:w="2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pPr>
                  <w:r>
                    <w:rPr>
                      <w:rFonts w:ascii="Calibri" w:eastAsia="Calibri" w:hAnsi="Calibri" w:cs="Calibri"/>
                      <w:sz w:val="22"/>
                      <w:szCs w:val="22"/>
                    </w:rPr>
                    <w:t>Twice-hourly</w:t>
                  </w:r>
                  <w:r>
                    <w:rPr>
                      <w:rStyle w:val="FootnoteReference"/>
                      <w:rFonts w:ascii="Calibri" w:eastAsia="Calibri" w:hAnsi="Calibri" w:cs="Calibri"/>
                      <w:sz w:val="22"/>
                      <w:szCs w:val="22"/>
                    </w:rPr>
                    <w:footnoteReference w:id="4"/>
                  </w:r>
                </w:p>
              </w:tc>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sz w:val="22"/>
                      <w:szCs w:val="22"/>
                    </w:rPr>
                  </w:pPr>
                  <w:r>
                    <w:rPr>
                      <w:rFonts w:ascii="Calibri" w:eastAsia="Calibri" w:hAnsi="Calibri" w:cs="Calibri"/>
                      <w:sz w:val="22"/>
                      <w:szCs w:val="22"/>
                    </w:rPr>
                    <w:t>Following delivery of improved signalling, two trains per hour will be possible from December 2018.  This level of frequency will attract new rail users out of their cars and encourage additional journeys by rail as the opportunities to travel are greatly improved.</w:t>
                  </w:r>
                </w:p>
              </w:tc>
            </w:tr>
            <w:tr w:rsidR="003477A5">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jc w:val="center"/>
                    <w:textAlignment w:val="auto"/>
                    <w:rPr>
                      <w:rFonts w:ascii="Calibri" w:eastAsia="Calibri" w:hAnsi="Calibri" w:cs="Calibri"/>
                      <w:b/>
                      <w:sz w:val="22"/>
                      <w:szCs w:val="22"/>
                    </w:rPr>
                  </w:pPr>
                  <w:r>
                    <w:rPr>
                      <w:rFonts w:ascii="Calibri" w:eastAsia="Calibri" w:hAnsi="Calibri" w:cs="Calibri"/>
                      <w:b/>
                      <w:sz w:val="22"/>
                      <w:szCs w:val="22"/>
                    </w:rPr>
                    <w:t>17</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b/>
                      <w:sz w:val="22"/>
                      <w:szCs w:val="22"/>
                    </w:rPr>
                  </w:pPr>
                  <w:r>
                    <w:rPr>
                      <w:rFonts w:ascii="Calibri" w:eastAsia="Calibri" w:hAnsi="Calibri" w:cs="Calibri"/>
                      <w:b/>
                      <w:sz w:val="22"/>
                      <w:szCs w:val="22"/>
                    </w:rPr>
                    <w:t>Swindon-Westbury-Southampton Airport (TransWilts &amp; Three Rivers)</w:t>
                  </w:r>
                </w:p>
              </w:tc>
              <w:tc>
                <w:tcPr>
                  <w:tcW w:w="2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sz w:val="22"/>
                      <w:szCs w:val="22"/>
                    </w:rPr>
                  </w:pPr>
                  <w:r>
                    <w:rPr>
                      <w:rFonts w:ascii="Calibri" w:eastAsia="Calibri" w:hAnsi="Calibri" w:cs="Calibri"/>
                      <w:sz w:val="22"/>
                      <w:szCs w:val="22"/>
                    </w:rPr>
                    <w:t>Hourly</w:t>
                  </w:r>
                </w:p>
              </w:tc>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pPr>
                  <w:r>
                    <w:rPr>
                      <w:rFonts w:ascii="Calibri" w:eastAsia="Calibri" w:hAnsi="Calibri" w:cs="Calibri"/>
                      <w:sz w:val="22"/>
                      <w:szCs w:val="22"/>
                    </w:rPr>
                    <w:t xml:space="preserve">Service directly serving rail-connected </w:t>
                  </w:r>
                  <w:r>
                    <w:rPr>
                      <w:rFonts w:ascii="Calibri" w:eastAsia="Calibri" w:hAnsi="Calibri" w:cs="Calibri"/>
                      <w:b/>
                      <w:sz w:val="22"/>
                      <w:szCs w:val="22"/>
                    </w:rPr>
                    <w:t>Southampton Airport</w:t>
                  </w:r>
                  <w:r>
                    <w:rPr>
                      <w:rFonts w:ascii="Calibri" w:eastAsia="Calibri" w:hAnsi="Calibri" w:cs="Calibri"/>
                      <w:sz w:val="22"/>
                      <w:szCs w:val="22"/>
                    </w:rPr>
                    <w:t xml:space="preserve">.  See SW Rail Franchise specification.  Opportunities for synergies between present </w:t>
                  </w:r>
                  <w:r>
                    <w:rPr>
                      <w:rFonts w:ascii="Calibri" w:eastAsia="Calibri" w:hAnsi="Calibri" w:cs="Calibri"/>
                      <w:b/>
                      <w:sz w:val="22"/>
                      <w:szCs w:val="22"/>
                    </w:rPr>
                    <w:t>Swindon-Westbury</w:t>
                  </w:r>
                  <w:r>
                    <w:rPr>
                      <w:rFonts w:ascii="Calibri" w:eastAsia="Calibri" w:hAnsi="Calibri" w:cs="Calibri"/>
                      <w:sz w:val="22"/>
                      <w:szCs w:val="22"/>
                    </w:rPr>
                    <w:t xml:space="preserve"> and </w:t>
                  </w:r>
                  <w:r>
                    <w:rPr>
                      <w:rFonts w:ascii="Calibri" w:eastAsia="Calibri" w:hAnsi="Calibri" w:cs="Calibri"/>
                      <w:b/>
                      <w:sz w:val="22"/>
                      <w:szCs w:val="22"/>
                    </w:rPr>
                    <w:t>Salisbury-Southampton</w:t>
                  </w:r>
                  <w:r>
                    <w:rPr>
                      <w:rFonts w:ascii="Calibri" w:eastAsia="Calibri" w:hAnsi="Calibri" w:cs="Calibri"/>
                      <w:sz w:val="22"/>
                      <w:szCs w:val="22"/>
                    </w:rPr>
                    <w:t xml:space="preserve"> (Three Rivers loop) services.</w:t>
                  </w:r>
                </w:p>
              </w:tc>
            </w:tr>
            <w:tr w:rsidR="003477A5">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jc w:val="center"/>
                    <w:textAlignment w:val="auto"/>
                    <w:rPr>
                      <w:rFonts w:ascii="Calibri" w:eastAsia="Calibri" w:hAnsi="Calibri" w:cs="Calibri"/>
                      <w:b/>
                      <w:sz w:val="22"/>
                      <w:szCs w:val="22"/>
                    </w:rPr>
                  </w:pPr>
                  <w:r>
                    <w:rPr>
                      <w:rFonts w:ascii="Calibri" w:eastAsia="Calibri" w:hAnsi="Calibri" w:cs="Calibri"/>
                      <w:b/>
                      <w:sz w:val="22"/>
                      <w:szCs w:val="22"/>
                    </w:rPr>
                    <w:t>18</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b/>
                      <w:sz w:val="22"/>
                      <w:szCs w:val="22"/>
                    </w:rPr>
                  </w:pPr>
                  <w:r>
                    <w:rPr>
                      <w:rFonts w:ascii="Calibri" w:eastAsia="Calibri" w:hAnsi="Calibri" w:cs="Calibri"/>
                      <w:b/>
                      <w:sz w:val="22"/>
                      <w:szCs w:val="22"/>
                    </w:rPr>
                    <w:t>Swindon-Birmingham semi-fast</w:t>
                  </w:r>
                </w:p>
              </w:tc>
              <w:tc>
                <w:tcPr>
                  <w:tcW w:w="2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sz w:val="22"/>
                      <w:szCs w:val="22"/>
                    </w:rPr>
                  </w:pPr>
                  <w:r>
                    <w:rPr>
                      <w:rFonts w:ascii="Calibri" w:eastAsia="Calibri" w:hAnsi="Calibri" w:cs="Calibri"/>
                      <w:sz w:val="22"/>
                      <w:szCs w:val="22"/>
                    </w:rPr>
                    <w:t>Hourly</w:t>
                  </w:r>
                </w:p>
              </w:tc>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pPr>
                  <w:r>
                    <w:rPr>
                      <w:rFonts w:ascii="Calibri" w:eastAsia="Calibri" w:hAnsi="Calibri" w:cs="Calibri"/>
                      <w:sz w:val="22"/>
                      <w:szCs w:val="22"/>
                    </w:rPr>
                    <w:t xml:space="preserve">There is pressure to revive through </w:t>
                  </w:r>
                  <w:r>
                    <w:rPr>
                      <w:rFonts w:ascii="Calibri" w:eastAsia="Calibri" w:hAnsi="Calibri" w:cs="Calibri"/>
                      <w:b/>
                      <w:sz w:val="22"/>
                      <w:szCs w:val="22"/>
                    </w:rPr>
                    <w:t>Swindon-Birmingham</w:t>
                  </w:r>
                  <w:r>
                    <w:rPr>
                      <w:rFonts w:ascii="Calibri" w:eastAsia="Calibri" w:hAnsi="Calibri" w:cs="Calibri"/>
                      <w:sz w:val="22"/>
                      <w:szCs w:val="22"/>
                    </w:rPr>
                    <w:t xml:space="preserve"> services to the West Midlands via the Stroud Valley Line to Gloucester and Cheltenham.  Current connectivity between these important manufacturing and commercial centres is poor .</w:t>
                  </w:r>
                </w:p>
              </w:tc>
            </w:tr>
            <w:tr w:rsidR="003477A5">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jc w:val="center"/>
                    <w:textAlignment w:val="auto"/>
                    <w:rPr>
                      <w:rFonts w:ascii="Calibri" w:eastAsia="Calibri" w:hAnsi="Calibri" w:cs="Calibri"/>
                      <w:b/>
                      <w:sz w:val="22"/>
                      <w:szCs w:val="22"/>
                    </w:rPr>
                  </w:pPr>
                  <w:r>
                    <w:rPr>
                      <w:rFonts w:ascii="Calibri" w:eastAsia="Calibri" w:hAnsi="Calibri" w:cs="Calibri"/>
                      <w:b/>
                      <w:sz w:val="22"/>
                      <w:szCs w:val="22"/>
                    </w:rPr>
                    <w:t>19</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b/>
                      <w:sz w:val="22"/>
                      <w:szCs w:val="22"/>
                    </w:rPr>
                  </w:pPr>
                  <w:r>
                    <w:rPr>
                      <w:rFonts w:ascii="Calibri" w:eastAsia="Calibri" w:hAnsi="Calibri" w:cs="Calibri"/>
                      <w:b/>
                      <w:sz w:val="22"/>
                      <w:szCs w:val="22"/>
                    </w:rPr>
                    <w:t>North Cotswold route</w:t>
                  </w:r>
                </w:p>
              </w:tc>
              <w:tc>
                <w:tcPr>
                  <w:tcW w:w="2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sz w:val="22"/>
                      <w:szCs w:val="22"/>
                    </w:rPr>
                  </w:pPr>
                  <w:r>
                    <w:rPr>
                      <w:rFonts w:ascii="Calibri" w:eastAsia="Calibri" w:hAnsi="Calibri" w:cs="Calibri"/>
                      <w:sz w:val="22"/>
                      <w:szCs w:val="22"/>
                    </w:rPr>
                    <w:t>Twice-hourly</w:t>
                  </w:r>
                </w:p>
              </w:tc>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pPr>
                  <w:r>
                    <w:rPr>
                      <w:rFonts w:ascii="Calibri" w:eastAsia="Calibri" w:hAnsi="Calibri" w:cs="Calibri"/>
                      <w:sz w:val="22"/>
                      <w:szCs w:val="22"/>
                    </w:rPr>
                    <w:t xml:space="preserve">There is local support for two services an hour from </w:t>
                  </w:r>
                  <w:r>
                    <w:rPr>
                      <w:rFonts w:ascii="Calibri" w:eastAsia="Calibri" w:hAnsi="Calibri" w:cs="Calibri"/>
                      <w:b/>
                      <w:sz w:val="22"/>
                      <w:szCs w:val="22"/>
                    </w:rPr>
                    <w:t>Hereford/Worcester to London</w:t>
                  </w:r>
                  <w:r>
                    <w:rPr>
                      <w:rFonts w:ascii="Calibri" w:eastAsia="Calibri" w:hAnsi="Calibri" w:cs="Calibri"/>
                      <w:sz w:val="22"/>
                      <w:szCs w:val="22"/>
                    </w:rPr>
                    <w:t xml:space="preserve"> stopping at </w:t>
                  </w:r>
                  <w:r>
                    <w:rPr>
                      <w:rFonts w:ascii="Calibri" w:eastAsia="Calibri" w:hAnsi="Calibri" w:cs="Calibri"/>
                      <w:b/>
                      <w:sz w:val="22"/>
                      <w:szCs w:val="22"/>
                    </w:rPr>
                    <w:t>Moreton in Marsh</w:t>
                  </w:r>
                  <w:r>
                    <w:rPr>
                      <w:rFonts w:ascii="Calibri" w:eastAsia="Calibri" w:hAnsi="Calibri" w:cs="Calibri"/>
                      <w:sz w:val="22"/>
                      <w:szCs w:val="22"/>
                    </w:rPr>
                    <w:t xml:space="preserve">.  This is a hub for the North Cotswolds with reasonable bus connections to the surrounding villages and larger towns such as </w:t>
                  </w:r>
                  <w:r>
                    <w:rPr>
                      <w:rFonts w:ascii="Calibri" w:eastAsia="Calibri" w:hAnsi="Calibri" w:cs="Calibri"/>
                      <w:b/>
                      <w:sz w:val="22"/>
                      <w:szCs w:val="22"/>
                    </w:rPr>
                    <w:t>Cirencester</w:t>
                  </w:r>
                  <w:r>
                    <w:rPr>
                      <w:rFonts w:ascii="Calibri" w:eastAsia="Calibri" w:hAnsi="Calibri" w:cs="Calibri"/>
                      <w:sz w:val="22"/>
                      <w:szCs w:val="22"/>
                    </w:rPr>
                    <w:t>.  Additional services will enhance connectivity for residents and for tourism, which plays a significant part in the local economy.</w:t>
                  </w:r>
                </w:p>
              </w:tc>
            </w:tr>
            <w:tr w:rsidR="003477A5">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jc w:val="center"/>
                    <w:textAlignment w:val="auto"/>
                    <w:rPr>
                      <w:rFonts w:ascii="Calibri" w:eastAsia="Calibri" w:hAnsi="Calibri" w:cs="Calibri"/>
                      <w:b/>
                      <w:sz w:val="22"/>
                      <w:szCs w:val="22"/>
                    </w:rPr>
                  </w:pPr>
                  <w:r>
                    <w:rPr>
                      <w:rFonts w:ascii="Calibri" w:eastAsia="Calibri" w:hAnsi="Calibri" w:cs="Calibri"/>
                      <w:b/>
                      <w:sz w:val="22"/>
                      <w:szCs w:val="22"/>
                    </w:rPr>
                    <w:t>20</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b/>
                      <w:sz w:val="22"/>
                      <w:szCs w:val="22"/>
                    </w:rPr>
                  </w:pPr>
                  <w:r>
                    <w:rPr>
                      <w:rFonts w:ascii="Calibri" w:eastAsia="Calibri" w:hAnsi="Calibri" w:cs="Calibri"/>
                      <w:b/>
                      <w:sz w:val="22"/>
                      <w:szCs w:val="22"/>
                    </w:rPr>
                    <w:t>Stratford upon Avon-Oxford-Reading-London Paddington</w:t>
                  </w:r>
                </w:p>
              </w:tc>
              <w:tc>
                <w:tcPr>
                  <w:tcW w:w="2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sz w:val="22"/>
                      <w:szCs w:val="22"/>
                    </w:rPr>
                  </w:pPr>
                  <w:r>
                    <w:rPr>
                      <w:rFonts w:ascii="Calibri" w:eastAsia="Calibri" w:hAnsi="Calibri" w:cs="Calibri"/>
                      <w:sz w:val="22"/>
                      <w:szCs w:val="22"/>
                    </w:rPr>
                    <w:t>Hourly</w:t>
                  </w:r>
                </w:p>
              </w:tc>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sz w:val="22"/>
                      <w:szCs w:val="22"/>
                    </w:rPr>
                  </w:pPr>
                  <w:r>
                    <w:rPr>
                      <w:rFonts w:ascii="Calibri" w:eastAsia="Calibri" w:hAnsi="Calibri" w:cs="Calibri"/>
                      <w:sz w:val="22"/>
                      <w:szCs w:val="22"/>
                    </w:rPr>
                    <w:t>The current Oxford-Banbury service to be subsumed by reinstatement of direct services between London and Stratford upon Avon.  This is a route with exceptional potential as an international tourist route (providing connections to London Heathrow and London Gatwick at Reading and Windsor at Slough), previously served by Thames Trains which even offered a post-theatre express service from Stratford to London.  The Stratford Rail Study showed that rail seriously under-performed in its share of the Stratford tourist market compared to analogous destinations.</w:t>
                  </w:r>
                </w:p>
              </w:tc>
            </w:tr>
            <w:tr w:rsidR="003477A5">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jc w:val="center"/>
                    <w:textAlignment w:val="auto"/>
                    <w:rPr>
                      <w:rFonts w:ascii="Calibri" w:eastAsia="Calibri" w:hAnsi="Calibri" w:cs="Calibri"/>
                      <w:b/>
                      <w:sz w:val="22"/>
                      <w:szCs w:val="22"/>
                    </w:rPr>
                  </w:pPr>
                  <w:r>
                    <w:rPr>
                      <w:rFonts w:ascii="Calibri" w:eastAsia="Calibri" w:hAnsi="Calibri" w:cs="Calibri"/>
                      <w:b/>
                      <w:sz w:val="22"/>
                      <w:szCs w:val="22"/>
                    </w:rPr>
                    <w:t>21</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b/>
                      <w:sz w:val="22"/>
                      <w:szCs w:val="22"/>
                    </w:rPr>
                  </w:pPr>
                  <w:r>
                    <w:rPr>
                      <w:rFonts w:ascii="Calibri" w:eastAsia="Calibri" w:hAnsi="Calibri" w:cs="Calibri"/>
                      <w:b/>
                      <w:sz w:val="22"/>
                      <w:szCs w:val="22"/>
                    </w:rPr>
                    <w:t>South Cotswold route</w:t>
                  </w:r>
                </w:p>
              </w:tc>
              <w:tc>
                <w:tcPr>
                  <w:tcW w:w="2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sz w:val="22"/>
                      <w:szCs w:val="22"/>
                    </w:rPr>
                  </w:pPr>
                  <w:r>
                    <w:rPr>
                      <w:rFonts w:ascii="Calibri" w:eastAsia="Calibri" w:hAnsi="Calibri" w:cs="Calibri"/>
                      <w:sz w:val="22"/>
                      <w:szCs w:val="22"/>
                    </w:rPr>
                    <w:t>Twice-hourly</w:t>
                  </w:r>
                </w:p>
              </w:tc>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pPr>
                  <w:r>
                    <w:rPr>
                      <w:rFonts w:ascii="Calibri" w:eastAsia="Calibri" w:hAnsi="Calibri" w:cs="Calibri"/>
                      <w:sz w:val="22"/>
                      <w:szCs w:val="22"/>
                    </w:rPr>
                    <w:t xml:space="preserve">This route, redoubled throughout since in 2014, faces significant car and coach competition whilst offering a two-hourly through service to London taking around two hours for the 114 miles from Gloucester with a local service to Swindon in alternate hours.  </w:t>
                  </w:r>
                  <w:r>
                    <w:rPr>
                      <w:rFonts w:ascii="Calibri" w:eastAsia="Calibri" w:hAnsi="Calibri" w:cs="Calibri"/>
                      <w:b/>
                      <w:sz w:val="22"/>
                      <w:szCs w:val="22"/>
                    </w:rPr>
                    <w:t>Cheltenham</w:t>
                  </w:r>
                  <w:r>
                    <w:rPr>
                      <w:rFonts w:ascii="Calibri" w:eastAsia="Calibri" w:hAnsi="Calibri" w:cs="Calibri"/>
                      <w:sz w:val="22"/>
                      <w:szCs w:val="22"/>
                    </w:rPr>
                    <w:t xml:space="preserve"> and </w:t>
                  </w:r>
                  <w:r>
                    <w:rPr>
                      <w:rFonts w:ascii="Calibri" w:eastAsia="Calibri" w:hAnsi="Calibri" w:cs="Calibri"/>
                      <w:b/>
                      <w:sz w:val="22"/>
                      <w:szCs w:val="22"/>
                    </w:rPr>
                    <w:t>Gloucester</w:t>
                  </w:r>
                  <w:r>
                    <w:rPr>
                      <w:rFonts w:ascii="Calibri" w:eastAsia="Calibri" w:hAnsi="Calibri" w:cs="Calibri"/>
                      <w:sz w:val="22"/>
                      <w:szCs w:val="22"/>
                    </w:rPr>
                    <w:t xml:space="preserve"> have a combined population of more than a quarter of a million with a similar number served by stations on the route. (See, also, suggestion for </w:t>
                  </w:r>
                  <w:r>
                    <w:rPr>
                      <w:rFonts w:ascii="Calibri" w:eastAsia="Calibri" w:hAnsi="Calibri" w:cs="Calibri"/>
                      <w:b/>
                      <w:sz w:val="22"/>
                      <w:szCs w:val="22"/>
                    </w:rPr>
                    <w:t>Swindon-Birmingham</w:t>
                  </w:r>
                  <w:r>
                    <w:rPr>
                      <w:rFonts w:ascii="Calibri" w:eastAsia="Calibri" w:hAnsi="Calibri" w:cs="Calibri"/>
                      <w:sz w:val="22"/>
                      <w:szCs w:val="22"/>
                    </w:rPr>
                    <w:t xml:space="preserve"> hourly service, item 18 above.)</w:t>
                  </w:r>
                </w:p>
              </w:tc>
            </w:tr>
            <w:tr w:rsidR="003477A5">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jc w:val="center"/>
                    <w:textAlignment w:val="auto"/>
                    <w:rPr>
                      <w:rFonts w:ascii="Calibri" w:eastAsia="Calibri" w:hAnsi="Calibri" w:cs="Calibri"/>
                      <w:b/>
                      <w:sz w:val="22"/>
                      <w:szCs w:val="22"/>
                    </w:rPr>
                  </w:pPr>
                  <w:r>
                    <w:rPr>
                      <w:rFonts w:ascii="Calibri" w:eastAsia="Calibri" w:hAnsi="Calibri" w:cs="Calibri"/>
                      <w:b/>
                      <w:sz w:val="22"/>
                      <w:szCs w:val="22"/>
                    </w:rPr>
                    <w:t>22</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b/>
                      <w:sz w:val="22"/>
                      <w:szCs w:val="22"/>
                    </w:rPr>
                  </w:pPr>
                  <w:r>
                    <w:rPr>
                      <w:rFonts w:ascii="Calibri" w:eastAsia="Calibri" w:hAnsi="Calibri" w:cs="Calibri"/>
                      <w:b/>
                      <w:sz w:val="22"/>
                      <w:szCs w:val="22"/>
                    </w:rPr>
                    <w:t>Old Oak Common</w:t>
                  </w:r>
                </w:p>
              </w:tc>
              <w:tc>
                <w:tcPr>
                  <w:tcW w:w="2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sz w:val="22"/>
                      <w:szCs w:val="22"/>
                    </w:rPr>
                  </w:pPr>
                  <w:r>
                    <w:rPr>
                      <w:rFonts w:ascii="Calibri" w:eastAsia="Calibri" w:hAnsi="Calibri" w:cs="Calibri"/>
                      <w:sz w:val="22"/>
                      <w:szCs w:val="22"/>
                    </w:rPr>
                    <w:t>Hourly</w:t>
                  </w:r>
                </w:p>
              </w:tc>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sz w:val="22"/>
                      <w:szCs w:val="22"/>
                    </w:rPr>
                  </w:pPr>
                  <w:r>
                    <w:rPr>
                      <w:rFonts w:ascii="Calibri" w:eastAsia="Calibri" w:hAnsi="Calibri" w:cs="Calibri"/>
                      <w:sz w:val="22"/>
                      <w:szCs w:val="22"/>
                    </w:rPr>
                    <w:t xml:space="preserve">There should be provision for an Old Oak Common call at least once an hour on each of the long-distance routes serving Paddington. </w:t>
                  </w:r>
                </w:p>
              </w:tc>
            </w:tr>
            <w:tr w:rsidR="003477A5">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jc w:val="center"/>
                    <w:textAlignment w:val="auto"/>
                    <w:rPr>
                      <w:rFonts w:ascii="Calibri" w:eastAsia="Calibri" w:hAnsi="Calibri" w:cs="Calibri"/>
                      <w:b/>
                      <w:sz w:val="22"/>
                      <w:szCs w:val="22"/>
                    </w:rPr>
                  </w:pPr>
                  <w:r>
                    <w:rPr>
                      <w:rFonts w:ascii="Calibri" w:eastAsia="Calibri" w:hAnsi="Calibri" w:cs="Calibri"/>
                      <w:b/>
                      <w:sz w:val="22"/>
                      <w:szCs w:val="22"/>
                    </w:rPr>
                    <w:t>23</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b/>
                      <w:sz w:val="22"/>
                      <w:szCs w:val="22"/>
                    </w:rPr>
                  </w:pPr>
                  <w:r>
                    <w:rPr>
                      <w:rFonts w:ascii="Calibri" w:eastAsia="Calibri" w:hAnsi="Calibri" w:cs="Calibri"/>
                      <w:b/>
                      <w:sz w:val="22"/>
                      <w:szCs w:val="22"/>
                    </w:rPr>
                    <w:t>Western Rail Link to LHR</w:t>
                  </w:r>
                </w:p>
              </w:tc>
              <w:tc>
                <w:tcPr>
                  <w:tcW w:w="2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sz w:val="22"/>
                      <w:szCs w:val="22"/>
                    </w:rPr>
                  </w:pPr>
                  <w:r>
                    <w:rPr>
                      <w:rFonts w:ascii="Calibri" w:eastAsia="Calibri" w:hAnsi="Calibri" w:cs="Calibri"/>
                      <w:sz w:val="22"/>
                      <w:szCs w:val="22"/>
                    </w:rPr>
                    <w:t>Four-times hourly</w:t>
                  </w:r>
                </w:p>
              </w:tc>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pPr>
                  <w:r>
                    <w:rPr>
                      <w:rFonts w:ascii="Calibri" w:eastAsia="Calibri" w:hAnsi="Calibri" w:cs="Calibri"/>
                      <w:sz w:val="22"/>
                      <w:szCs w:val="22"/>
                    </w:rPr>
                    <w:t xml:space="preserve">A high frequency service should be provided from </w:t>
                  </w:r>
                  <w:r>
                    <w:rPr>
                      <w:rFonts w:ascii="Calibri" w:eastAsia="Calibri" w:hAnsi="Calibri" w:cs="Calibri"/>
                      <w:b/>
                      <w:sz w:val="22"/>
                      <w:szCs w:val="22"/>
                    </w:rPr>
                    <w:t>Reading</w:t>
                  </w:r>
                  <w:r>
                    <w:rPr>
                      <w:rFonts w:ascii="Calibri" w:eastAsia="Calibri" w:hAnsi="Calibri" w:cs="Calibri"/>
                      <w:sz w:val="22"/>
                      <w:szCs w:val="22"/>
                    </w:rPr>
                    <w:t xml:space="preserve"> to </w:t>
                  </w:r>
                  <w:r>
                    <w:rPr>
                      <w:rFonts w:ascii="Calibri" w:eastAsia="Calibri" w:hAnsi="Calibri" w:cs="Calibri"/>
                      <w:b/>
                      <w:sz w:val="22"/>
                      <w:szCs w:val="22"/>
                    </w:rPr>
                    <w:t>Heathrow</w:t>
                  </w:r>
                  <w:r>
                    <w:rPr>
                      <w:rFonts w:ascii="Calibri" w:eastAsia="Calibri" w:hAnsi="Calibri" w:cs="Calibri"/>
                      <w:sz w:val="22"/>
                      <w:szCs w:val="22"/>
                    </w:rPr>
                    <w:t xml:space="preserve"> </w:t>
                  </w:r>
                  <w:r>
                    <w:rPr>
                      <w:rFonts w:ascii="Calibri" w:eastAsia="Calibri" w:hAnsi="Calibri" w:cs="Calibri"/>
                      <w:b/>
                      <w:sz w:val="22"/>
                      <w:szCs w:val="22"/>
                    </w:rPr>
                    <w:t>Airport</w:t>
                  </w:r>
                  <w:r>
                    <w:rPr>
                      <w:rFonts w:ascii="Calibri" w:eastAsia="Calibri" w:hAnsi="Calibri" w:cs="Calibri"/>
                      <w:sz w:val="22"/>
                      <w:szCs w:val="22"/>
                    </w:rPr>
                    <w:t xml:space="preserve"> as a priority with special provision made for easy interchange for those with luggage at Reading pending consideration of through service provision from further west.</w:t>
                  </w:r>
                </w:p>
              </w:tc>
            </w:tr>
            <w:tr w:rsidR="003477A5">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jc w:val="center"/>
                    <w:textAlignment w:val="auto"/>
                    <w:rPr>
                      <w:rFonts w:ascii="Calibri" w:eastAsia="Calibri" w:hAnsi="Calibri" w:cs="Calibri"/>
                      <w:b/>
                      <w:sz w:val="22"/>
                      <w:szCs w:val="22"/>
                    </w:rPr>
                  </w:pPr>
                  <w:r>
                    <w:rPr>
                      <w:rFonts w:ascii="Calibri" w:eastAsia="Calibri" w:hAnsi="Calibri" w:cs="Calibri"/>
                      <w:b/>
                      <w:sz w:val="22"/>
                      <w:szCs w:val="22"/>
                    </w:rPr>
                    <w:t>24</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b/>
                      <w:sz w:val="22"/>
                      <w:szCs w:val="22"/>
                    </w:rPr>
                  </w:pPr>
                  <w:r>
                    <w:rPr>
                      <w:rFonts w:ascii="Calibri" w:eastAsia="Calibri" w:hAnsi="Calibri" w:cs="Calibri"/>
                      <w:b/>
                      <w:sz w:val="22"/>
                      <w:szCs w:val="22"/>
                    </w:rPr>
                    <w:t>Links to LGW</w:t>
                  </w:r>
                </w:p>
              </w:tc>
              <w:tc>
                <w:tcPr>
                  <w:tcW w:w="2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sz w:val="22"/>
                      <w:szCs w:val="22"/>
                    </w:rPr>
                  </w:pPr>
                  <w:r>
                    <w:rPr>
                      <w:rFonts w:ascii="Calibri" w:eastAsia="Calibri" w:hAnsi="Calibri" w:cs="Calibri"/>
                      <w:sz w:val="22"/>
                      <w:szCs w:val="22"/>
                    </w:rPr>
                    <w:t>Twice-hourly</w:t>
                  </w:r>
                </w:p>
              </w:tc>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pPr>
                  <w:r>
                    <w:rPr>
                      <w:rFonts w:ascii="Calibri" w:eastAsia="Calibri" w:hAnsi="Calibri" w:cs="Calibri"/>
                      <w:sz w:val="22"/>
                      <w:szCs w:val="22"/>
                    </w:rPr>
                    <w:t xml:space="preserve">A fast service should be provided from </w:t>
                  </w:r>
                  <w:r>
                    <w:rPr>
                      <w:rFonts w:ascii="Calibri" w:eastAsia="Calibri" w:hAnsi="Calibri" w:cs="Calibri"/>
                      <w:b/>
                      <w:sz w:val="22"/>
                      <w:szCs w:val="22"/>
                    </w:rPr>
                    <w:t>Reading</w:t>
                  </w:r>
                  <w:r>
                    <w:rPr>
                      <w:rFonts w:ascii="Calibri" w:eastAsia="Calibri" w:hAnsi="Calibri" w:cs="Calibri"/>
                      <w:sz w:val="22"/>
                      <w:szCs w:val="22"/>
                    </w:rPr>
                    <w:t xml:space="preserve"> to </w:t>
                  </w:r>
                  <w:r>
                    <w:rPr>
                      <w:rFonts w:ascii="Calibri" w:eastAsia="Calibri" w:hAnsi="Calibri" w:cs="Calibri"/>
                      <w:b/>
                      <w:sz w:val="22"/>
                      <w:szCs w:val="22"/>
                    </w:rPr>
                    <w:t>Gatwick Airport</w:t>
                  </w:r>
                  <w:r>
                    <w:rPr>
                      <w:rFonts w:ascii="Calibri" w:eastAsia="Calibri" w:hAnsi="Calibri" w:cs="Calibri"/>
                      <w:sz w:val="22"/>
                      <w:szCs w:val="22"/>
                    </w:rPr>
                    <w:t>, possibly as a continuation of local services into Reading from further up the Thames Valley</w:t>
                  </w:r>
                  <w:r>
                    <w:rPr>
                      <w:rStyle w:val="FootnoteReference"/>
                      <w:rFonts w:ascii="Calibri" w:eastAsia="Calibri" w:hAnsi="Calibri" w:cs="Calibri"/>
                      <w:sz w:val="22"/>
                      <w:szCs w:val="22"/>
                    </w:rPr>
                    <w:footnoteReference w:id="5"/>
                  </w:r>
                  <w:r>
                    <w:rPr>
                      <w:rFonts w:ascii="Calibri" w:eastAsia="Calibri" w:hAnsi="Calibri" w:cs="Calibri"/>
                      <w:sz w:val="22"/>
                      <w:szCs w:val="22"/>
                    </w:rPr>
                    <w:t>.  Special provision made for easy interchange for those with luggage at Reading.  Present arrangements, and journey planners, encourage travel via London accentuating local overcrowding.</w:t>
                  </w:r>
                </w:p>
              </w:tc>
            </w:tr>
            <w:tr w:rsidR="003477A5">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jc w:val="center"/>
                    <w:textAlignment w:val="auto"/>
                    <w:rPr>
                      <w:rFonts w:ascii="Calibri" w:eastAsia="Calibri" w:hAnsi="Calibri" w:cs="Calibri"/>
                      <w:b/>
                      <w:sz w:val="22"/>
                      <w:szCs w:val="22"/>
                    </w:rPr>
                  </w:pPr>
                  <w:r>
                    <w:rPr>
                      <w:rFonts w:ascii="Calibri" w:eastAsia="Calibri" w:hAnsi="Calibri" w:cs="Calibri"/>
                      <w:b/>
                      <w:sz w:val="22"/>
                      <w:szCs w:val="22"/>
                    </w:rPr>
                    <w:t>25</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b/>
                      <w:sz w:val="22"/>
                      <w:szCs w:val="22"/>
                    </w:rPr>
                  </w:pPr>
                  <w:r>
                    <w:rPr>
                      <w:rFonts w:ascii="Calibri" w:eastAsia="Calibri" w:hAnsi="Calibri" w:cs="Calibri"/>
                      <w:b/>
                      <w:sz w:val="22"/>
                      <w:szCs w:val="22"/>
                    </w:rPr>
                    <w:t>General</w:t>
                  </w:r>
                </w:p>
              </w:tc>
              <w:tc>
                <w:tcPr>
                  <w:tcW w:w="2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sz w:val="22"/>
                      <w:szCs w:val="22"/>
                    </w:rPr>
                  </w:pPr>
                  <w:r>
                    <w:rPr>
                      <w:rFonts w:ascii="Calibri" w:eastAsia="Calibri" w:hAnsi="Calibri" w:cs="Calibri"/>
                      <w:sz w:val="22"/>
                      <w:szCs w:val="22"/>
                    </w:rPr>
                    <w:t>7-day service</w:t>
                  </w:r>
                </w:p>
              </w:tc>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pStyle w:val="CommentText"/>
                    <w:textAlignment w:val="auto"/>
                    <w:rPr>
                      <w:rFonts w:ascii="Calibri" w:eastAsia="Calibri" w:hAnsi="Calibri" w:cs="Calibri"/>
                      <w:sz w:val="22"/>
                      <w:szCs w:val="22"/>
                    </w:rPr>
                  </w:pPr>
                  <w:r>
                    <w:rPr>
                      <w:rFonts w:ascii="Calibri" w:eastAsia="Calibri" w:hAnsi="Calibri" w:cs="Calibri"/>
                      <w:sz w:val="22"/>
                      <w:szCs w:val="22"/>
                    </w:rPr>
                    <w:t>Changing work, leisure and retailing patterns</w:t>
                  </w:r>
                </w:p>
              </w:tc>
            </w:tr>
            <w:tr w:rsidR="003477A5">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jc w:val="center"/>
                    <w:textAlignment w:val="auto"/>
                    <w:rPr>
                      <w:rFonts w:ascii="Calibri" w:eastAsia="Calibri" w:hAnsi="Calibri" w:cs="Calibri"/>
                      <w:b/>
                      <w:sz w:val="22"/>
                      <w:szCs w:val="22"/>
                    </w:rPr>
                  </w:pPr>
                  <w:r>
                    <w:rPr>
                      <w:rFonts w:ascii="Calibri" w:eastAsia="Calibri" w:hAnsi="Calibri" w:cs="Calibri"/>
                      <w:b/>
                      <w:sz w:val="22"/>
                      <w:szCs w:val="22"/>
                    </w:rPr>
                    <w:t>26</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b/>
                      <w:sz w:val="22"/>
                      <w:szCs w:val="22"/>
                    </w:rPr>
                  </w:pPr>
                  <w:r>
                    <w:rPr>
                      <w:rFonts w:ascii="Calibri" w:eastAsia="Calibri" w:hAnsi="Calibri" w:cs="Calibri"/>
                      <w:b/>
                      <w:sz w:val="22"/>
                      <w:szCs w:val="22"/>
                    </w:rPr>
                    <w:t>General</w:t>
                  </w:r>
                </w:p>
              </w:tc>
              <w:tc>
                <w:tcPr>
                  <w:tcW w:w="2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sz w:val="22"/>
                      <w:szCs w:val="22"/>
                    </w:rPr>
                  </w:pPr>
                  <w:r>
                    <w:rPr>
                      <w:rFonts w:ascii="Calibri" w:eastAsia="Calibri" w:hAnsi="Calibri" w:cs="Calibri"/>
                      <w:sz w:val="22"/>
                      <w:szCs w:val="22"/>
                    </w:rPr>
                    <w:t xml:space="preserve">Minimum of hourly service throughout franchise area supplemented in peaks.  </w:t>
                  </w:r>
                </w:p>
              </w:tc>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77A5" w:rsidRDefault="00A67CBF">
                  <w:pPr>
                    <w:textAlignment w:val="auto"/>
                    <w:rPr>
                      <w:rFonts w:ascii="Calibri" w:eastAsia="Calibri" w:hAnsi="Calibri" w:cs="Calibri"/>
                      <w:sz w:val="22"/>
                      <w:szCs w:val="22"/>
                    </w:rPr>
                  </w:pPr>
                  <w:r>
                    <w:rPr>
                      <w:rFonts w:ascii="Calibri" w:eastAsia="Calibri" w:hAnsi="Calibri" w:cs="Calibri"/>
                      <w:sz w:val="22"/>
                      <w:szCs w:val="22"/>
                    </w:rPr>
                    <w:t>Continental experience of modal shift. Changing work patterns require pre 0730 London arrivals for all main commuter flows and an expectation of last up arrivals in London from major conurbations no earlier than 2345.</w:t>
                  </w:r>
                </w:p>
              </w:tc>
            </w:tr>
          </w:tbl>
          <w:p w:rsidR="003477A5" w:rsidRDefault="003477A5">
            <w:pPr>
              <w:pStyle w:val="ListParagraph"/>
              <w:spacing w:line="276" w:lineRule="auto"/>
              <w:ind w:left="360"/>
              <w:rPr>
                <w:rFonts w:ascii="Calibri" w:hAnsi="Calibri" w:cs="Calibri"/>
                <w:b/>
                <w:i/>
                <w:sz w:val="28"/>
                <w:szCs w:val="28"/>
              </w:rPr>
            </w:pPr>
          </w:p>
          <w:p w:rsidR="003477A5" w:rsidRDefault="00A67CBF">
            <w:pPr>
              <w:spacing w:after="240"/>
            </w:pPr>
            <w:r>
              <w:rPr>
                <w:rFonts w:ascii="Helvetica" w:hAnsi="Helvetica" w:cs="Helvetica"/>
                <w:color w:val="333333"/>
                <w:sz w:val="21"/>
                <w:szCs w:val="21"/>
              </w:rPr>
              <w:t xml:space="preserve">Additionally, the specification should </w:t>
            </w:r>
            <w:r>
              <w:rPr>
                <w:rFonts w:ascii="Helvetica" w:hAnsi="Helvetica" w:cs="Helvetica"/>
                <w:b/>
                <w:color w:val="333333"/>
                <w:sz w:val="21"/>
                <w:szCs w:val="21"/>
              </w:rPr>
              <w:t>encourage exploitation of new service opportunities created by HS2 both at Old Oak Common and at Birmingham, East West Rail, the Elizabeth Line, western access to Heathrow, etc.</w:t>
            </w:r>
            <w:r>
              <w:rPr>
                <w:rFonts w:ascii="Helvetica" w:hAnsi="Helvetica" w:cs="Helvetica"/>
                <w:color w:val="333333"/>
                <w:sz w:val="21"/>
                <w:szCs w:val="21"/>
              </w:rPr>
              <w:t xml:space="preserve"> as well as opportunities to exploit potential ‘Quick Wins’ including:</w:t>
            </w:r>
          </w:p>
          <w:p w:rsidR="003477A5" w:rsidRDefault="00A67CBF">
            <w:pPr>
              <w:pStyle w:val="ListParagraph"/>
              <w:numPr>
                <w:ilvl w:val="0"/>
                <w:numId w:val="17"/>
              </w:numPr>
              <w:spacing w:after="240"/>
            </w:pPr>
            <w:r>
              <w:rPr>
                <w:rFonts w:ascii="Helvetica" w:hAnsi="Helvetica" w:cs="Helvetica"/>
                <w:color w:val="333333"/>
                <w:sz w:val="21"/>
                <w:szCs w:val="21"/>
              </w:rPr>
              <w:t xml:space="preserve">Reinstatement of National Rail services to </w:t>
            </w:r>
            <w:r>
              <w:rPr>
                <w:rFonts w:ascii="Helvetica" w:hAnsi="Helvetica" w:cs="Helvetica"/>
                <w:b/>
                <w:color w:val="333333"/>
                <w:sz w:val="21"/>
                <w:szCs w:val="21"/>
              </w:rPr>
              <w:t>Minehead</w:t>
            </w:r>
            <w:r>
              <w:rPr>
                <w:rFonts w:ascii="Helvetica" w:hAnsi="Helvetica" w:cs="Helvetica"/>
                <w:color w:val="333333"/>
                <w:sz w:val="21"/>
                <w:szCs w:val="21"/>
              </w:rPr>
              <w:t xml:space="preserve"> over the metals of the West Somerset Railway would restore much needed connectivity to an area of West Somerset with significant deprivation and connectivity challenges.  </w:t>
            </w:r>
          </w:p>
          <w:p w:rsidR="003477A5" w:rsidRDefault="00A67CBF">
            <w:pPr>
              <w:pStyle w:val="ListParagraph"/>
              <w:numPr>
                <w:ilvl w:val="0"/>
                <w:numId w:val="17"/>
              </w:numPr>
              <w:spacing w:after="240"/>
            </w:pPr>
            <w:r>
              <w:rPr>
                <w:rFonts w:ascii="Helvetica" w:hAnsi="Helvetica" w:cs="Helvetica"/>
                <w:color w:val="333333"/>
                <w:sz w:val="21"/>
                <w:szCs w:val="21"/>
              </w:rPr>
              <w:t xml:space="preserve">A similar case can be made for reinstatement of weekday services to </w:t>
            </w:r>
            <w:r>
              <w:rPr>
                <w:rFonts w:ascii="Helvetica" w:hAnsi="Helvetica" w:cs="Helvetica"/>
                <w:b/>
                <w:color w:val="333333"/>
                <w:sz w:val="21"/>
                <w:szCs w:val="21"/>
              </w:rPr>
              <w:t>Okehampton</w:t>
            </w:r>
            <w:r>
              <w:rPr>
                <w:rFonts w:ascii="Helvetica" w:hAnsi="Helvetica" w:cs="Helvetica"/>
                <w:color w:val="333333"/>
                <w:sz w:val="21"/>
                <w:szCs w:val="21"/>
              </w:rPr>
              <w:t xml:space="preserve"> as a railhead for the economies of North and West Devon and North Cornwall. </w:t>
            </w:r>
          </w:p>
          <w:p w:rsidR="003477A5" w:rsidRDefault="00A67CBF">
            <w:pPr>
              <w:pStyle w:val="ListParagraph"/>
              <w:numPr>
                <w:ilvl w:val="0"/>
                <w:numId w:val="18"/>
              </w:numPr>
              <w:spacing w:after="240"/>
            </w:pPr>
            <w:r>
              <w:rPr>
                <w:rFonts w:ascii="Helvetica" w:hAnsi="Helvetica" w:cs="Helvetica"/>
                <w:color w:val="333333"/>
                <w:sz w:val="21"/>
                <w:szCs w:val="21"/>
              </w:rPr>
              <w:t xml:space="preserve">Reinstatement of scheduled National Rail services approximately half a mile southwards from Paignton to a new Torbay Parkway station located at Network Rail’s </w:t>
            </w:r>
            <w:r>
              <w:rPr>
                <w:rFonts w:ascii="Helvetica" w:hAnsi="Helvetica" w:cs="Helvetica"/>
                <w:b/>
                <w:color w:val="333333"/>
                <w:sz w:val="21"/>
                <w:szCs w:val="21"/>
              </w:rPr>
              <w:t>Goodrington</w:t>
            </w:r>
            <w:r>
              <w:rPr>
                <w:rFonts w:ascii="Helvetica" w:hAnsi="Helvetica" w:cs="Helvetica"/>
                <w:color w:val="333333"/>
                <w:sz w:val="21"/>
                <w:szCs w:val="21"/>
              </w:rPr>
              <w:t xml:space="preserve"> </w:t>
            </w:r>
            <w:r>
              <w:rPr>
                <w:rFonts w:ascii="Helvetica" w:hAnsi="Helvetica" w:cs="Helvetica"/>
                <w:b/>
                <w:color w:val="333333"/>
                <w:sz w:val="21"/>
                <w:szCs w:val="21"/>
              </w:rPr>
              <w:t>Sands</w:t>
            </w:r>
            <w:r>
              <w:rPr>
                <w:rFonts w:ascii="Helvetica" w:hAnsi="Helvetica" w:cs="Helvetica"/>
                <w:color w:val="333333"/>
                <w:sz w:val="21"/>
                <w:szCs w:val="21"/>
              </w:rPr>
              <w:t xml:space="preserve"> carriage sidings (where, in contrast to the situation at existing Torbay Line stations, considerable under-utilised car parking is available in the Clennon Valley and Quay West car parks, adjacent to the A379, the South Devon Coast Road). </w:t>
            </w:r>
          </w:p>
          <w:p w:rsidR="003477A5" w:rsidRDefault="00A67CBF">
            <w:pPr>
              <w:pStyle w:val="ListParagraph"/>
              <w:numPr>
                <w:ilvl w:val="0"/>
                <w:numId w:val="18"/>
              </w:numPr>
              <w:spacing w:after="240"/>
            </w:pPr>
            <w:r>
              <w:rPr>
                <w:rFonts w:ascii="Helvetica" w:hAnsi="Helvetica" w:cs="Helvetica"/>
                <w:color w:val="333333"/>
                <w:sz w:val="21"/>
                <w:szCs w:val="21"/>
              </w:rPr>
              <w:t xml:space="preserve">Investment in a signal at </w:t>
            </w:r>
            <w:r>
              <w:rPr>
                <w:rFonts w:ascii="Helvetica" w:hAnsi="Helvetica" w:cs="Helvetica"/>
                <w:b/>
                <w:color w:val="333333"/>
                <w:sz w:val="21"/>
                <w:szCs w:val="21"/>
              </w:rPr>
              <w:t>Cranbrook</w:t>
            </w:r>
            <w:r>
              <w:rPr>
                <w:rFonts w:ascii="Helvetica" w:hAnsi="Helvetica" w:cs="Helvetica"/>
                <w:color w:val="333333"/>
                <w:sz w:val="21"/>
                <w:szCs w:val="21"/>
              </w:rPr>
              <w:t xml:space="preserve"> that would enable extension of Barnstaple-Exeter services to turn-back there, without the need for further units or crews, as a precursor of completion of the infrastructure works necessary for extension of the service to </w:t>
            </w:r>
            <w:r>
              <w:rPr>
                <w:rFonts w:ascii="Helvetica" w:hAnsi="Helvetica" w:cs="Helvetica"/>
                <w:b/>
                <w:color w:val="333333"/>
                <w:sz w:val="21"/>
                <w:szCs w:val="21"/>
              </w:rPr>
              <w:t>Axminster</w:t>
            </w:r>
            <w:r>
              <w:rPr>
                <w:rFonts w:ascii="Helvetica" w:hAnsi="Helvetica" w:cs="Helvetica"/>
                <w:color w:val="333333"/>
                <w:sz w:val="21"/>
                <w:szCs w:val="21"/>
              </w:rPr>
              <w:t>.</w:t>
            </w:r>
            <w:r>
              <w:rPr>
                <w:rFonts w:ascii="Helvetica" w:hAnsi="Helvetica" w:cs="Helvetica"/>
                <w:color w:val="333333"/>
                <w:sz w:val="21"/>
                <w:szCs w:val="21"/>
              </w:rPr>
              <w:br/>
            </w:r>
            <w:r>
              <w:rPr>
                <w:rFonts w:ascii="Helvetica" w:hAnsi="Helvetica" w:cs="Helvetica"/>
                <w:color w:val="333333"/>
                <w:sz w:val="21"/>
                <w:szCs w:val="21"/>
              </w:rPr>
              <w:br/>
            </w:r>
          </w:p>
        </w:tc>
      </w:tr>
    </w:tbl>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20. What times of the day or week are these improvements needed? </w:t>
      </w:r>
    </w:p>
    <w:p w:rsidR="003477A5" w:rsidRDefault="003477A5">
      <w:pPr>
        <w:rPr>
          <w:rFonts w:ascii="Helvetica" w:hAnsi="Helvetica" w:cs="Helvetica"/>
          <w:color w:val="333333"/>
          <w:sz w:val="21"/>
          <w:szCs w:val="21"/>
        </w:rPr>
      </w:pP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3477A5">
            <w:pPr>
              <w:spacing w:after="240"/>
              <w:rPr>
                <w:rFonts w:ascii="Helvetica" w:hAnsi="Helvetica" w:cs="Helvetica"/>
                <w:color w:val="333333"/>
                <w:sz w:val="21"/>
                <w:szCs w:val="21"/>
              </w:rPr>
            </w:pPr>
          </w:p>
          <w:p w:rsidR="003477A5" w:rsidRDefault="00A67CBF">
            <w:pPr>
              <w:spacing w:after="240"/>
            </w:pPr>
            <w:r>
              <w:rPr>
                <w:rFonts w:ascii="Helvetica" w:hAnsi="Helvetica" w:cs="Helvetica"/>
                <w:color w:val="333333"/>
                <w:sz w:val="21"/>
                <w:szCs w:val="21"/>
              </w:rPr>
              <w:t xml:space="preserve">Basic services (i.e. excluding additional provision for commuter flows, seasonal peaks and special events such as Glastonbury or the Cheltenham Festival) should normally be provided </w:t>
            </w:r>
            <w:r>
              <w:rPr>
                <w:rFonts w:ascii="Helvetica" w:hAnsi="Helvetica" w:cs="Helvetica"/>
                <w:b/>
                <w:color w:val="333333"/>
                <w:sz w:val="21"/>
                <w:szCs w:val="21"/>
              </w:rPr>
              <w:t>seven days a week and have a frequency that is, at least, hourly</w:t>
            </w:r>
            <w:r>
              <w:rPr>
                <w:rFonts w:ascii="Helvetica" w:hAnsi="Helvetica" w:cs="Helvetica"/>
                <w:color w:val="333333"/>
                <w:sz w:val="21"/>
                <w:szCs w:val="21"/>
              </w:rPr>
              <w:t xml:space="preserve">.   </w:t>
            </w:r>
          </w:p>
        </w:tc>
      </w:tr>
    </w:tbl>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21. Why? </w:t>
      </w:r>
    </w:p>
    <w:p w:rsidR="003477A5" w:rsidRDefault="003477A5">
      <w:pPr>
        <w:rPr>
          <w:rFonts w:ascii="Helvetica" w:hAnsi="Helvetica" w:cs="Helvetica"/>
          <w:color w:val="333333"/>
          <w:sz w:val="21"/>
          <w:szCs w:val="21"/>
        </w:rPr>
      </w:pP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3477A5">
            <w:pPr>
              <w:spacing w:after="240"/>
              <w:rPr>
                <w:rFonts w:ascii="Helvetica" w:hAnsi="Helvetica" w:cs="Helvetica"/>
                <w:color w:val="333333"/>
                <w:sz w:val="21"/>
                <w:szCs w:val="21"/>
              </w:rPr>
            </w:pPr>
          </w:p>
          <w:p w:rsidR="003477A5" w:rsidRDefault="00A67CBF">
            <w:pPr>
              <w:spacing w:after="240"/>
              <w:rPr>
                <w:rFonts w:ascii="Helvetica" w:hAnsi="Helvetica" w:cs="Helvetica"/>
                <w:color w:val="333333"/>
                <w:sz w:val="21"/>
                <w:szCs w:val="21"/>
              </w:rPr>
            </w:pPr>
            <w:r>
              <w:rPr>
                <w:rFonts w:ascii="Helvetica" w:hAnsi="Helvetica" w:cs="Helvetica"/>
                <w:color w:val="333333"/>
                <w:sz w:val="21"/>
                <w:szCs w:val="21"/>
              </w:rPr>
              <w:t>The South West is a major leisure market, tourism and ‘weekending’ playing a major part in its economy. This creates particular opportunities and challenges for operators: during the summer, for example, Newquay’s population – normally around 22,000 – exceeds that of the city of Exeter with a population well over 125,000. Sunday is now a major day for retail activity while the South West’s cities have a booming evening economies but are generally difficult to access for those without private transport due to generally poor public transport provision in the evenings and at weekends.</w:t>
            </w:r>
          </w:p>
        </w:tc>
      </w:tr>
    </w:tbl>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22. If the only way of achieving earlier first trains or later last trains was to curtail services at other times of the week or year so Network Rail can carry out essential maintenance, what times would you suggest? </w:t>
      </w:r>
    </w:p>
    <w:p w:rsidR="003477A5" w:rsidRDefault="003477A5">
      <w:pPr>
        <w:rPr>
          <w:rFonts w:ascii="Helvetica" w:hAnsi="Helvetica" w:cs="Helvetica"/>
          <w:color w:val="333333"/>
          <w:sz w:val="21"/>
          <w:szCs w:val="21"/>
        </w:rPr>
      </w:pP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3477A5">
            <w:pPr>
              <w:spacing w:after="240"/>
              <w:rPr>
                <w:rFonts w:ascii="Helvetica" w:hAnsi="Helvetica" w:cs="Helvetica"/>
                <w:color w:val="333333"/>
                <w:sz w:val="21"/>
                <w:szCs w:val="21"/>
              </w:rPr>
            </w:pPr>
          </w:p>
          <w:p w:rsidR="003477A5" w:rsidRDefault="00A67CBF">
            <w:pPr>
              <w:spacing w:after="240"/>
            </w:pPr>
            <w:r>
              <w:rPr>
                <w:rFonts w:ascii="Helvetica" w:hAnsi="Helvetica" w:cs="Helvetica"/>
                <w:color w:val="333333"/>
                <w:sz w:val="21"/>
                <w:szCs w:val="21"/>
              </w:rPr>
              <w:t xml:space="preserve">This should only be allowed to become a zero-sum game </w:t>
            </w:r>
            <w:r>
              <w:rPr>
                <w:rFonts w:ascii="Helvetica" w:hAnsi="Helvetica" w:cs="Helvetica"/>
                <w:i/>
                <w:color w:val="333333"/>
                <w:sz w:val="21"/>
                <w:szCs w:val="21"/>
              </w:rPr>
              <w:t>in extremis</w:t>
            </w:r>
            <w:r>
              <w:rPr>
                <w:rFonts w:ascii="Helvetica" w:hAnsi="Helvetica" w:cs="Helvetica"/>
                <w:color w:val="333333"/>
                <w:sz w:val="21"/>
                <w:szCs w:val="21"/>
              </w:rPr>
              <w:t>.  The sector needs first to be encouraged to invest in:</w:t>
            </w:r>
          </w:p>
          <w:p w:rsidR="003477A5" w:rsidRDefault="00A67CBF">
            <w:pPr>
              <w:pStyle w:val="ListParagraph"/>
              <w:numPr>
                <w:ilvl w:val="0"/>
                <w:numId w:val="19"/>
              </w:numPr>
              <w:spacing w:after="240"/>
            </w:pPr>
            <w:r>
              <w:rPr>
                <w:rFonts w:ascii="Helvetica" w:hAnsi="Helvetica" w:cs="Helvetica"/>
                <w:b/>
                <w:color w:val="333333"/>
                <w:sz w:val="21"/>
                <w:szCs w:val="21"/>
              </w:rPr>
              <w:t>Raising levels of project management competence</w:t>
            </w:r>
            <w:r>
              <w:rPr>
                <w:rFonts w:ascii="Helvetica" w:hAnsi="Helvetica" w:cs="Helvetica"/>
                <w:color w:val="333333"/>
                <w:sz w:val="21"/>
                <w:szCs w:val="21"/>
              </w:rPr>
              <w:t xml:space="preserve"> within the industry: the factors that underlay the short-notice stoppage of all services through Reading on the weekend of 14-15</w:t>
            </w:r>
            <w:r>
              <w:rPr>
                <w:rFonts w:ascii="Helvetica" w:hAnsi="Helvetica" w:cs="Helvetica"/>
                <w:color w:val="333333"/>
                <w:sz w:val="21"/>
                <w:szCs w:val="21"/>
                <w:vertAlign w:val="superscript"/>
              </w:rPr>
              <w:t>th</w:t>
            </w:r>
            <w:r>
              <w:rPr>
                <w:rFonts w:ascii="Helvetica" w:hAnsi="Helvetica" w:cs="Helvetica"/>
                <w:color w:val="333333"/>
                <w:sz w:val="21"/>
                <w:szCs w:val="21"/>
              </w:rPr>
              <w:t xml:space="preserve"> October 2017 provide a stark reminder of a systemic short-coming that is apparent to any observer of the way in which the Great Western Electrification Programme was implemented.</w:t>
            </w:r>
          </w:p>
          <w:p w:rsidR="003477A5" w:rsidRDefault="00A67CBF">
            <w:pPr>
              <w:pStyle w:val="ListParagraph"/>
              <w:numPr>
                <w:ilvl w:val="0"/>
                <w:numId w:val="19"/>
              </w:numPr>
              <w:spacing w:after="240"/>
            </w:pPr>
            <w:r>
              <w:rPr>
                <w:rFonts w:ascii="Helvetica" w:hAnsi="Helvetica" w:cs="Helvetica"/>
                <w:b/>
                <w:color w:val="333333"/>
                <w:sz w:val="21"/>
                <w:szCs w:val="21"/>
              </w:rPr>
              <w:t>Reversible working</w:t>
            </w:r>
            <w:r>
              <w:rPr>
                <w:rFonts w:ascii="Helvetica" w:hAnsi="Helvetica" w:cs="Helvetica"/>
                <w:color w:val="333333"/>
                <w:sz w:val="21"/>
                <w:szCs w:val="21"/>
              </w:rPr>
              <w:t xml:space="preserve"> of lines serving routes where there are two or more tracks and, if necessary, in measures to ensure safe working areas within an otherwise ‘live’ railway environment.</w:t>
            </w:r>
          </w:p>
          <w:p w:rsidR="003477A5" w:rsidRDefault="00A67CBF">
            <w:pPr>
              <w:pStyle w:val="ListParagraph"/>
              <w:numPr>
                <w:ilvl w:val="0"/>
                <w:numId w:val="19"/>
              </w:numPr>
              <w:spacing w:after="240"/>
            </w:pPr>
            <w:r>
              <w:rPr>
                <w:rFonts w:ascii="Helvetica" w:hAnsi="Helvetica" w:cs="Helvetica"/>
                <w:b/>
                <w:color w:val="333333"/>
                <w:sz w:val="21"/>
                <w:szCs w:val="21"/>
              </w:rPr>
              <w:t>Diversionary routes,</w:t>
            </w:r>
            <w:r>
              <w:rPr>
                <w:rFonts w:ascii="Helvetica" w:hAnsi="Helvetica" w:cs="Helvetica"/>
                <w:color w:val="333333"/>
                <w:sz w:val="21"/>
                <w:szCs w:val="21"/>
              </w:rPr>
              <w:t xml:space="preserve"> including necessary driver training and investment in existing infrastructure (e.g. realisation of the proposed upgrade of the diversionary route between Castle Cary and Exeter via Yeovil), re-instatement of connecting links or provision of appropriate train control systems to enable improved network flexibility (e.g. the Bradford-on-Avon loop between Bradford North Junction and Bradford West Junction, thereby providing an alternative to the route via Box Tunnel, or the Air Ministry Loop at Thingley, as an alternative to the route through the Avon Valley between Bradford and Bathampton Junctions).</w:t>
            </w:r>
            <w:r>
              <w:rPr>
                <w:rFonts w:ascii="Helvetica" w:hAnsi="Helvetica" w:cs="Helvetica"/>
                <w:color w:val="333333"/>
                <w:sz w:val="21"/>
                <w:szCs w:val="21"/>
              </w:rPr>
              <w:br/>
            </w:r>
          </w:p>
        </w:tc>
      </w:tr>
    </w:tbl>
    <w:p w:rsidR="003477A5" w:rsidRDefault="00A67CBF">
      <w:pPr>
        <w:rPr>
          <w:rFonts w:ascii="Helvetica" w:hAnsi="Helvetica" w:cs="Helvetica"/>
          <w:b/>
          <w:bCs/>
          <w:color w:val="333333"/>
          <w:sz w:val="36"/>
          <w:szCs w:val="36"/>
        </w:rPr>
      </w:pPr>
      <w:r>
        <w:rPr>
          <w:rFonts w:ascii="Helvetica" w:hAnsi="Helvetica" w:cs="Helvetica"/>
          <w:b/>
          <w:bCs/>
          <w:color w:val="333333"/>
          <w:sz w:val="36"/>
          <w:szCs w:val="36"/>
        </w:rPr>
        <w:t xml:space="preserve">11. Reducing journey times </w:t>
      </w:r>
    </w:p>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rPr>
          <w:rFonts w:ascii="Helvetica" w:hAnsi="Helvetica" w:cs="Helvetica"/>
          <w:bCs/>
          <w:color w:val="333333"/>
          <w:sz w:val="21"/>
          <w:szCs w:val="21"/>
        </w:rPr>
      </w:pPr>
      <w:r>
        <w:rPr>
          <w:rFonts w:ascii="Helvetica" w:hAnsi="Helvetica" w:cs="Helvetica"/>
          <w:bCs/>
          <w:color w:val="333333"/>
          <w:sz w:val="21"/>
          <w:szCs w:val="21"/>
        </w:rPr>
        <w:t>The introduction of new intercity trains will enable improvements in journey times on key long-distance routes during the term of the current franchise.  There are also aspirations for further journey time improvements on some routes.  We will explore the potential for any of these to be achieved within the proposed term of the next franchise, but in many instances such improvements would require either infrastructure change (usually dealt with through Network Rail’s business planning process) or significant reform to service structures. </w:t>
      </w:r>
      <w:r>
        <w:rPr>
          <w:rFonts w:ascii="Helvetica" w:hAnsi="Helvetica" w:cs="Helvetica"/>
          <w:bCs/>
          <w:color w:val="333333"/>
          <w:sz w:val="21"/>
          <w:szCs w:val="21"/>
        </w:rPr>
        <w:br/>
      </w:r>
      <w:r>
        <w:rPr>
          <w:rFonts w:ascii="Helvetica" w:hAnsi="Helvetica" w:cs="Helvetica"/>
          <w:bCs/>
          <w:color w:val="333333"/>
          <w:sz w:val="21"/>
          <w:szCs w:val="21"/>
        </w:rPr>
        <w:br/>
        <w:t>One prominent example is the Peninsula Rail Task Force’s (PRTF) aspiration for faster journeys between London and the south west peninsula.  The current franchisee is already working closely with Network Rail to identify opportunities for incremental gains to journey times through targeted infrastructure interventions, though such opportunities would require new funding to implement.  We would expect to see such collaboration continue, and ideally increase further. </w:t>
      </w:r>
      <w:r>
        <w:rPr>
          <w:rFonts w:ascii="Helvetica" w:hAnsi="Helvetica" w:cs="Helvetica"/>
          <w:bCs/>
          <w:color w:val="333333"/>
          <w:sz w:val="21"/>
          <w:szCs w:val="21"/>
        </w:rPr>
        <w:br/>
      </w:r>
      <w:r>
        <w:rPr>
          <w:rFonts w:ascii="Helvetica" w:hAnsi="Helvetica" w:cs="Helvetica"/>
          <w:bCs/>
          <w:color w:val="333333"/>
          <w:sz w:val="21"/>
          <w:szCs w:val="21"/>
        </w:rPr>
        <w:br/>
        <w:t>We are also aware that the PRTF’s aspirations have led to concerns that longer-distance journeys might in future be accelerated by omitting calls at intermediate stations along the route.  In the first instance, we are therefore starting to explore whether there is any scope for longer-term changes to planned service structures that could enable faster longer-distance journeys, while also maintaining planned service frequencies at intermediate stations.  We are also inviting views on how we can best strike the right balance between the interests of longer-distance passengers and users of intermediate stations along the route.</w:t>
      </w:r>
      <w:r>
        <w:rPr>
          <w:rFonts w:ascii="Helvetica" w:hAnsi="Helvetica" w:cs="Helvetica"/>
          <w:bCs/>
          <w:color w:val="333333"/>
          <w:sz w:val="21"/>
          <w:szCs w:val="21"/>
        </w:rPr>
        <w:br/>
        <w:t> </w:t>
      </w:r>
    </w:p>
    <w:p w:rsidR="003477A5" w:rsidRDefault="003477A5">
      <w:pPr>
        <w:rPr>
          <w:rFonts w:ascii="Helvetica" w:hAnsi="Helvetica" w:cs="Helvetica"/>
          <w:color w:val="333333"/>
          <w:sz w:val="21"/>
          <w:szCs w:val="21"/>
        </w:rPr>
      </w:pP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23. Do you agree or disagree with reducing journey times to destinations in the South West by reducing stops at intermediate stations? </w:t>
      </w:r>
    </w:p>
    <w:p w:rsidR="003477A5" w:rsidRDefault="003477A5">
      <w:pPr>
        <w:rPr>
          <w:rFonts w:ascii="Helvetica" w:hAnsi="Helvetica" w:cs="Helvetica"/>
          <w:color w:val="333333"/>
          <w:sz w:val="21"/>
          <w:szCs w:val="21"/>
        </w:rPr>
      </w:pPr>
    </w:p>
    <w:tbl>
      <w:tblPr>
        <w:tblW w:w="1431" w:type="dxa"/>
        <w:tblCellMar>
          <w:left w:w="10" w:type="dxa"/>
          <w:right w:w="10" w:type="dxa"/>
        </w:tblCellMar>
        <w:tblLook w:val="0000" w:firstRow="0" w:lastRow="0" w:firstColumn="0" w:lastColumn="0" w:noHBand="0" w:noVBand="0"/>
      </w:tblPr>
      <w:tblGrid>
        <w:gridCol w:w="426"/>
        <w:gridCol w:w="1005"/>
      </w:tblGrid>
      <w:tr w:rsidR="003477A5">
        <w:tc>
          <w:tcPr>
            <w:tcW w:w="426" w:type="dxa"/>
            <w:shd w:val="clear" w:color="auto" w:fill="auto"/>
            <w:tcMar>
              <w:top w:w="0" w:type="dxa"/>
              <w:left w:w="0" w:type="dxa"/>
              <w:bottom w:w="0" w:type="dxa"/>
              <w:right w:w="0" w:type="dxa"/>
            </w:tcMar>
          </w:tcPr>
          <w:p w:rsidR="003477A5" w:rsidRDefault="00A67CBF">
            <w:r>
              <w:rPr>
                <w:rFonts w:ascii="Helvetica" w:hAnsi="Helvetica" w:cs="Helvetica"/>
                <w:color w:val="333333"/>
                <w:sz w:val="21"/>
                <w:szCs w:val="21"/>
              </w:rPr>
              <w:t>  </w:t>
            </w:r>
          </w:p>
        </w:tc>
        <w:tc>
          <w:tcPr>
            <w:tcW w:w="1005" w:type="dxa"/>
            <w:shd w:val="clear" w:color="auto" w:fill="auto"/>
            <w:tcMar>
              <w:top w:w="0" w:type="dxa"/>
              <w:left w:w="0" w:type="dxa"/>
              <w:bottom w:w="0" w:type="dxa"/>
              <w:right w:w="0" w:type="dxa"/>
            </w:tcMar>
            <w:vAlign w:val="center"/>
          </w:tcPr>
          <w:p w:rsidR="003477A5" w:rsidRDefault="00A67CBF">
            <w:pPr>
              <w:rPr>
                <w:rFonts w:ascii="Helvetica" w:hAnsi="Helvetica" w:cs="Helvetica"/>
                <w:color w:val="333333"/>
                <w:sz w:val="21"/>
                <w:szCs w:val="21"/>
              </w:rPr>
            </w:pPr>
            <w:r>
              <w:rPr>
                <w:rFonts w:ascii="Helvetica" w:hAnsi="Helvetica" w:cs="Helvetica"/>
                <w:color w:val="333333"/>
                <w:sz w:val="21"/>
                <w:szCs w:val="21"/>
              </w:rPr>
              <w:t>Agree</w:t>
            </w:r>
          </w:p>
        </w:tc>
      </w:tr>
      <w:tr w:rsidR="003477A5">
        <w:tc>
          <w:tcPr>
            <w:tcW w:w="426" w:type="dxa"/>
            <w:shd w:val="clear" w:color="auto" w:fill="auto"/>
            <w:tcMar>
              <w:top w:w="0" w:type="dxa"/>
              <w:left w:w="0" w:type="dxa"/>
              <w:bottom w:w="0" w:type="dxa"/>
              <w:right w:w="0" w:type="dxa"/>
            </w:tcMar>
          </w:tcPr>
          <w:p w:rsidR="003477A5" w:rsidRDefault="00A67CBF">
            <w:r>
              <w:rPr>
                <w:rFonts w:ascii="Helvetica" w:hAnsi="Helvetica" w:cs="Helvetica"/>
                <w:color w:val="333333"/>
                <w:sz w:val="21"/>
                <w:szCs w:val="21"/>
              </w:rPr>
              <w:t>  X</w:t>
            </w:r>
          </w:p>
        </w:tc>
        <w:tc>
          <w:tcPr>
            <w:tcW w:w="1005" w:type="dxa"/>
            <w:shd w:val="clear" w:color="auto" w:fill="auto"/>
            <w:tcMar>
              <w:top w:w="0" w:type="dxa"/>
              <w:left w:w="0" w:type="dxa"/>
              <w:bottom w:w="0" w:type="dxa"/>
              <w:right w:w="0" w:type="dxa"/>
            </w:tcMar>
            <w:vAlign w:val="center"/>
          </w:tcPr>
          <w:p w:rsidR="003477A5" w:rsidRDefault="00A67CBF">
            <w:pPr>
              <w:rPr>
                <w:rFonts w:ascii="Helvetica" w:hAnsi="Helvetica" w:cs="Helvetica"/>
                <w:color w:val="333333"/>
                <w:sz w:val="21"/>
                <w:szCs w:val="21"/>
              </w:rPr>
            </w:pPr>
            <w:r>
              <w:rPr>
                <w:rFonts w:ascii="Helvetica" w:hAnsi="Helvetica" w:cs="Helvetica"/>
                <w:color w:val="333333"/>
                <w:sz w:val="21"/>
                <w:szCs w:val="21"/>
              </w:rPr>
              <w:t>Disagree</w:t>
            </w:r>
          </w:p>
        </w:tc>
      </w:tr>
      <w:tr w:rsidR="003477A5">
        <w:tc>
          <w:tcPr>
            <w:tcW w:w="426" w:type="dxa"/>
            <w:shd w:val="clear" w:color="auto" w:fill="auto"/>
            <w:tcMar>
              <w:top w:w="0" w:type="dxa"/>
              <w:left w:w="0" w:type="dxa"/>
              <w:bottom w:w="0" w:type="dxa"/>
              <w:right w:w="0" w:type="dxa"/>
            </w:tcMar>
          </w:tcPr>
          <w:p w:rsidR="003477A5" w:rsidRDefault="00A67CBF">
            <w:r>
              <w:rPr>
                <w:rFonts w:ascii="Helvetica" w:hAnsi="Helvetica" w:cs="Helvetica"/>
                <w:color w:val="333333"/>
                <w:sz w:val="21"/>
                <w:szCs w:val="21"/>
              </w:rPr>
              <w:t> </w:t>
            </w:r>
          </w:p>
        </w:tc>
        <w:tc>
          <w:tcPr>
            <w:tcW w:w="1005" w:type="dxa"/>
            <w:shd w:val="clear" w:color="auto" w:fill="auto"/>
            <w:tcMar>
              <w:top w:w="0" w:type="dxa"/>
              <w:left w:w="0" w:type="dxa"/>
              <w:bottom w:w="0" w:type="dxa"/>
              <w:right w:w="0" w:type="dxa"/>
            </w:tcMar>
            <w:vAlign w:val="center"/>
          </w:tcPr>
          <w:p w:rsidR="003477A5" w:rsidRDefault="00A67CBF">
            <w:pPr>
              <w:rPr>
                <w:rFonts w:ascii="Helvetica" w:hAnsi="Helvetica" w:cs="Helvetica"/>
                <w:color w:val="333333"/>
                <w:sz w:val="21"/>
                <w:szCs w:val="21"/>
              </w:rPr>
            </w:pPr>
            <w:r>
              <w:rPr>
                <w:rFonts w:ascii="Helvetica" w:hAnsi="Helvetica" w:cs="Helvetica"/>
                <w:color w:val="333333"/>
                <w:sz w:val="21"/>
                <w:szCs w:val="21"/>
              </w:rPr>
              <w:t>No opinion</w:t>
            </w:r>
          </w:p>
        </w:tc>
      </w:tr>
    </w:tbl>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24. Which services or stations would benefit from this approach? </w:t>
      </w:r>
    </w:p>
    <w:p w:rsidR="003477A5" w:rsidRDefault="003477A5">
      <w:pPr>
        <w:rPr>
          <w:rFonts w:ascii="Helvetica" w:hAnsi="Helvetica" w:cs="Helvetica"/>
          <w:color w:val="333333"/>
          <w:sz w:val="21"/>
          <w:szCs w:val="21"/>
        </w:rPr>
      </w:pP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3477A5">
            <w:pPr>
              <w:spacing w:after="240"/>
              <w:rPr>
                <w:rFonts w:ascii="Helvetica" w:hAnsi="Helvetica" w:cs="Helvetica"/>
                <w:color w:val="333333"/>
                <w:sz w:val="21"/>
                <w:szCs w:val="21"/>
              </w:rPr>
            </w:pPr>
          </w:p>
          <w:p w:rsidR="003477A5" w:rsidRDefault="00A67CBF">
            <w:pPr>
              <w:spacing w:after="240"/>
            </w:pPr>
            <w:r>
              <w:rPr>
                <w:rFonts w:ascii="Helvetica" w:hAnsi="Helvetica" w:cs="Helvetica"/>
                <w:color w:val="333333"/>
                <w:sz w:val="21"/>
                <w:szCs w:val="21"/>
              </w:rPr>
              <w:t xml:space="preserve">While there may be justification to reduce the number of intermediate stops made by a limited number of services, we are concerned that </w:t>
            </w:r>
            <w:r>
              <w:rPr>
                <w:rFonts w:ascii="Helvetica" w:hAnsi="Helvetica" w:cs="Helvetica"/>
                <w:b/>
                <w:color w:val="333333"/>
                <w:sz w:val="21"/>
                <w:szCs w:val="21"/>
              </w:rPr>
              <w:t>this approach could damage wider connectivity</w:t>
            </w:r>
            <w:r>
              <w:rPr>
                <w:rFonts w:ascii="Helvetica" w:hAnsi="Helvetica" w:cs="Helvetica"/>
                <w:color w:val="333333"/>
                <w:sz w:val="21"/>
                <w:szCs w:val="21"/>
              </w:rPr>
              <w:t xml:space="preserve"> and, in the long-term, also undermine the viability of service provision to the far south west. Consider this:</w:t>
            </w:r>
          </w:p>
          <w:p w:rsidR="003477A5" w:rsidRDefault="00A67CBF">
            <w:pPr>
              <w:pStyle w:val="ListParagraph"/>
              <w:numPr>
                <w:ilvl w:val="0"/>
                <w:numId w:val="20"/>
              </w:numPr>
              <w:spacing w:after="240"/>
            </w:pPr>
            <w:r>
              <w:rPr>
                <w:rFonts w:ascii="Helvetica" w:hAnsi="Helvetica" w:cs="Helvetica"/>
                <w:color w:val="333333"/>
                <w:sz w:val="21"/>
                <w:szCs w:val="21"/>
              </w:rPr>
              <w:t>In November 2017 Transport Focus published the results of a survey of rail passengers’ priorities for improvement based on a sample of more than 12,000 respondents (</w:t>
            </w:r>
            <w:hyperlink r:id="rId12" w:history="1">
              <w:r>
                <w:rPr>
                  <w:rStyle w:val="Hyperlink"/>
                  <w:rFonts w:ascii="Helvetica" w:hAnsi="Helvetica" w:cs="Helvetica"/>
                  <w:sz w:val="21"/>
                  <w:szCs w:val="21"/>
                </w:rPr>
                <w:t>https://www.transportfocus.org.uk/research-publications/publications/rail-passengers-priorities-for-improvement/</w:t>
              </w:r>
            </w:hyperlink>
            <w:r>
              <w:rPr>
                <w:rFonts w:ascii="Helvetica" w:hAnsi="Helvetica" w:cs="Helvetica"/>
                <w:color w:val="333333"/>
                <w:sz w:val="21"/>
                <w:szCs w:val="21"/>
              </w:rPr>
              <w:t>).  This shows that</w:t>
            </w:r>
            <w:r>
              <w:rPr>
                <w:rFonts w:ascii="Helvetica" w:hAnsi="Helvetica" w:cs="Helvetica"/>
                <w:b/>
                <w:color w:val="333333"/>
                <w:sz w:val="21"/>
                <w:szCs w:val="21"/>
              </w:rPr>
              <w:t xml:space="preserve"> reduction in journey time is not amongst the top ten areas of improvement sought by passengers</w:t>
            </w:r>
            <w:r>
              <w:rPr>
                <w:rFonts w:ascii="Helvetica" w:hAnsi="Helvetica" w:cs="Helvetica"/>
                <w:color w:val="333333"/>
                <w:sz w:val="21"/>
                <w:szCs w:val="21"/>
              </w:rPr>
              <w:t xml:space="preserve">.  The research results are accompanied by an on-line </w:t>
            </w:r>
            <w:r>
              <w:rPr>
                <w:rFonts w:ascii="Helvetica" w:hAnsi="Helvetica" w:cs="Helvetica"/>
                <w:i/>
                <w:color w:val="333333"/>
                <w:sz w:val="21"/>
                <w:szCs w:val="21"/>
              </w:rPr>
              <w:t>Rail Priorities Simulator</w:t>
            </w:r>
            <w:r>
              <w:rPr>
                <w:rFonts w:ascii="Helvetica" w:hAnsi="Helvetica" w:cs="Helvetica"/>
                <w:color w:val="333333"/>
                <w:sz w:val="21"/>
                <w:szCs w:val="21"/>
              </w:rPr>
              <w:t>.  This allows interrogation of the results.  Perhaps surprisingly, Long Distance passengers using Great Western services for business trips rank ‘Journey time reduction’ 16</w:t>
            </w:r>
            <w:r>
              <w:rPr>
                <w:rFonts w:ascii="Helvetica" w:hAnsi="Helvetica" w:cs="Helvetica"/>
                <w:color w:val="333333"/>
                <w:sz w:val="21"/>
                <w:szCs w:val="21"/>
                <w:vertAlign w:val="superscript"/>
              </w:rPr>
              <w:t>th</w:t>
            </w:r>
            <w:r>
              <w:rPr>
                <w:rFonts w:ascii="Helvetica" w:hAnsi="Helvetica" w:cs="Helvetica"/>
                <w:color w:val="333333"/>
                <w:sz w:val="21"/>
                <w:szCs w:val="21"/>
              </w:rPr>
              <w:t xml:space="preserve"> when prioritising 31 attributes. (The same attribute ranks 10</w:t>
            </w:r>
            <w:r>
              <w:rPr>
                <w:rFonts w:ascii="Helvetica" w:hAnsi="Helvetica" w:cs="Helvetica"/>
                <w:color w:val="333333"/>
                <w:sz w:val="21"/>
                <w:szCs w:val="21"/>
                <w:vertAlign w:val="superscript"/>
              </w:rPr>
              <w:t>th</w:t>
            </w:r>
            <w:r>
              <w:rPr>
                <w:rFonts w:ascii="Helvetica" w:hAnsi="Helvetica" w:cs="Helvetica"/>
                <w:color w:val="333333"/>
                <w:sz w:val="21"/>
                <w:szCs w:val="21"/>
              </w:rPr>
              <w:t xml:space="preserve"> amongst long-distance business passengers, England-wide.).  Passengers using Great Western’s Long Distance services for leisure trips gave an even lower ranking to a desire for ‘Journey time reduction’, it achieving nineteenth rank.  Interestingly, this group assigned greater priority to the attribute, ‘Connections with </w:t>
            </w:r>
            <w:r w:rsidR="002A695D">
              <w:rPr>
                <w:rFonts w:ascii="Helvetica" w:hAnsi="Helvetica" w:cs="Helvetica" w:hint="eastAsia"/>
                <w:color w:val="333333"/>
                <w:sz w:val="21"/>
                <w:szCs w:val="21"/>
              </w:rPr>
              <w:t>…</w:t>
            </w:r>
            <w:r>
              <w:rPr>
                <w:rFonts w:ascii="Helvetica" w:hAnsi="Helvetica" w:cs="Helvetica"/>
                <w:color w:val="333333"/>
                <w:sz w:val="21"/>
                <w:szCs w:val="21"/>
              </w:rPr>
              <w:t>train services are always good’.  Improved connectivity is an over-riding requirement.</w:t>
            </w:r>
          </w:p>
          <w:p w:rsidR="003477A5" w:rsidRDefault="00A67CBF">
            <w:pPr>
              <w:pStyle w:val="ListParagraph"/>
              <w:numPr>
                <w:ilvl w:val="0"/>
                <w:numId w:val="20"/>
              </w:numPr>
              <w:spacing w:after="240"/>
            </w:pPr>
            <w:r>
              <w:rPr>
                <w:rFonts w:ascii="Helvetica" w:hAnsi="Helvetica" w:cs="Helvetica"/>
                <w:color w:val="333333"/>
                <w:sz w:val="21"/>
                <w:szCs w:val="21"/>
              </w:rPr>
              <w:t>Acknowledging that the available evidence indicates that concern about journey time is focussed particularly on the business community wishing to travel from Plymouth and other agglomerations in the far south west to London and to other destinations primarily in the south east and the west midlands, a wider concern became apparent during our consultation exercise.  This reflects the view that, rather than concentrate on the point to point journey time achieved</w:t>
            </w:r>
            <w:r w:rsidR="002A695D">
              <w:rPr>
                <w:rFonts w:ascii="Helvetica" w:hAnsi="Helvetica" w:cs="Helvetica"/>
                <w:color w:val="333333"/>
                <w:sz w:val="21"/>
                <w:szCs w:val="21"/>
              </w:rPr>
              <w:t xml:space="preserve"> by </w:t>
            </w:r>
            <w:r>
              <w:rPr>
                <w:rFonts w:ascii="Helvetica" w:hAnsi="Helvetica" w:cs="Helvetica"/>
                <w:color w:val="333333"/>
                <w:sz w:val="21"/>
                <w:szCs w:val="21"/>
              </w:rPr>
              <w:t xml:space="preserve"> a particular through service,</w:t>
            </w:r>
            <w:r>
              <w:rPr>
                <w:rFonts w:ascii="Helvetica" w:hAnsi="Helvetica" w:cs="Helvetica"/>
                <w:b/>
                <w:color w:val="333333"/>
                <w:sz w:val="21"/>
                <w:szCs w:val="21"/>
              </w:rPr>
              <w:t xml:space="preserve"> journey times should be considered in end-to-end terms</w:t>
            </w:r>
            <w:r>
              <w:rPr>
                <w:rFonts w:ascii="Helvetica" w:hAnsi="Helvetica" w:cs="Helvetica"/>
                <w:color w:val="333333"/>
                <w:sz w:val="21"/>
                <w:szCs w:val="21"/>
              </w:rPr>
              <w:t xml:space="preserve">.  Such consideration would include, for example, the amount of time to be allowed for finding space at stations with insufficient car parking or that realistically need to be allowed to achieve connections where a service has a tendency to late running or the time taken to make connections between trains.  These considerations underline the importance both of providing sufficient facilities to sustain an acceptable whole journey experience and the importance of timetable planning that delivers robust yet acceptable connections for those making journeys involving connections.  </w:t>
            </w:r>
          </w:p>
          <w:p w:rsidR="003477A5" w:rsidRDefault="00A67CBF">
            <w:pPr>
              <w:pStyle w:val="ListParagraph"/>
              <w:numPr>
                <w:ilvl w:val="0"/>
                <w:numId w:val="20"/>
              </w:numPr>
              <w:spacing w:after="240"/>
            </w:pPr>
            <w:r>
              <w:rPr>
                <w:rFonts w:ascii="Helvetica" w:hAnsi="Helvetica" w:cs="Helvetica"/>
                <w:color w:val="333333"/>
                <w:sz w:val="21"/>
                <w:szCs w:val="21"/>
              </w:rPr>
              <w:t xml:space="preserve">TravelWatch SouthWest has already received expressions of concern that, as presently planned, </w:t>
            </w:r>
            <w:r>
              <w:rPr>
                <w:rFonts w:ascii="Helvetica" w:hAnsi="Helvetica" w:cs="Helvetica"/>
                <w:b/>
                <w:color w:val="333333"/>
                <w:sz w:val="21"/>
                <w:szCs w:val="21"/>
              </w:rPr>
              <w:t xml:space="preserve">the proposed December 2018/January 2019 timetable changes will worsen </w:t>
            </w:r>
            <w:r>
              <w:rPr>
                <w:rFonts w:ascii="Helvetica" w:hAnsi="Helvetica" w:cs="Helvetica"/>
                <w:color w:val="333333"/>
                <w:sz w:val="21"/>
                <w:szCs w:val="21"/>
              </w:rPr>
              <w:t>the</w:t>
            </w:r>
            <w:r>
              <w:rPr>
                <w:rFonts w:ascii="Helvetica" w:hAnsi="Helvetica" w:cs="Helvetica"/>
                <w:b/>
                <w:color w:val="333333"/>
                <w:sz w:val="21"/>
                <w:szCs w:val="21"/>
              </w:rPr>
              <w:t xml:space="preserve"> connectivity </w:t>
            </w:r>
            <w:r>
              <w:rPr>
                <w:rFonts w:ascii="Helvetica" w:hAnsi="Helvetica" w:cs="Helvetica"/>
                <w:color w:val="333333"/>
                <w:sz w:val="21"/>
                <w:szCs w:val="21"/>
              </w:rPr>
              <w:t>at Exeter St Davids and at Newton Abbott of significant parts of the wider catchment area, particularly Torbay, East and North Devon.</w:t>
            </w:r>
          </w:p>
          <w:p w:rsidR="003477A5" w:rsidRDefault="00A67CBF">
            <w:pPr>
              <w:pStyle w:val="ListParagraph"/>
              <w:numPr>
                <w:ilvl w:val="0"/>
                <w:numId w:val="20"/>
              </w:numPr>
              <w:spacing w:after="240"/>
            </w:pPr>
            <w:r>
              <w:rPr>
                <w:rFonts w:ascii="Helvetica" w:hAnsi="Helvetica" w:cs="Helvetica"/>
                <w:color w:val="333333"/>
                <w:sz w:val="21"/>
                <w:szCs w:val="21"/>
              </w:rPr>
              <w:t xml:space="preserve">We suspect that the viability of the majority of services to and from the far south west depends on the inclusion of revenue from passengers other than those making journeys between the extremes of the route – i.e. those passengers whose journey is limited to the Thames Valley or to and from, or connecting through, stations in the mid-west.  We note that more passengers travel between the towns of West Wilts and the far south west than travel between Penzance and Plymouth and that the increase in their size is projected to put them on a par with the city of Exeter and with Torbay during the next two decades.  We are concerned both as to </w:t>
            </w:r>
            <w:r>
              <w:rPr>
                <w:rFonts w:ascii="Helvetica" w:hAnsi="Helvetica" w:cs="Helvetica"/>
                <w:b/>
                <w:color w:val="333333"/>
                <w:sz w:val="21"/>
                <w:szCs w:val="21"/>
              </w:rPr>
              <w:t xml:space="preserve">the effects that this loss of potential revenue may have on the services linking the far south west in the long term, by the potential impacts on service provision between London and the mid-west and by the loss of connectivity between the stations of the mid-west </w:t>
            </w:r>
            <w:r>
              <w:rPr>
                <w:rFonts w:ascii="Helvetica" w:hAnsi="Helvetica" w:cs="Helvetica"/>
                <w:color w:val="333333"/>
                <w:sz w:val="21"/>
                <w:szCs w:val="21"/>
              </w:rPr>
              <w:t>(including hubs like Westbury where many passengers make connections to other services) and the far south west.</w:t>
            </w:r>
          </w:p>
          <w:p w:rsidR="003477A5" w:rsidRDefault="00A67CBF">
            <w:pPr>
              <w:pStyle w:val="ListParagraph"/>
              <w:numPr>
                <w:ilvl w:val="0"/>
                <w:numId w:val="20"/>
              </w:numPr>
              <w:spacing w:after="240"/>
            </w:pPr>
            <w:r>
              <w:rPr>
                <w:rFonts w:ascii="Helvetica" w:hAnsi="Helvetica" w:cs="Helvetica"/>
                <w:color w:val="333333"/>
                <w:sz w:val="21"/>
                <w:szCs w:val="21"/>
              </w:rPr>
              <w:t xml:space="preserve">While not disputing the strength of feeling in political circles in the far south west concerning journey times, we consider that </w:t>
            </w:r>
            <w:r>
              <w:rPr>
                <w:rFonts w:ascii="Helvetica" w:hAnsi="Helvetica" w:cs="Helvetica"/>
                <w:b/>
                <w:color w:val="333333"/>
                <w:sz w:val="21"/>
                <w:szCs w:val="21"/>
              </w:rPr>
              <w:t>useful savings can be achieved from improved attention to unscheduled extended station dwell times</w:t>
            </w:r>
            <w:r>
              <w:rPr>
                <w:rFonts w:ascii="Helvetica" w:hAnsi="Helvetica" w:cs="Helvetica"/>
                <w:color w:val="333333"/>
                <w:sz w:val="21"/>
                <w:szCs w:val="21"/>
              </w:rPr>
              <w:t>.  These have several obvious causes: the use of elderly rolling stock that was not designed for quick access or egress (now in the course of remedy), deficiencies in the platform-train interface as, for example, occurs when ballasting has created a potentially hazardous height variance between the two – something that can pose a serious challenge to people with restricted mobility, whether caused by disability</w:t>
            </w:r>
            <w:r w:rsidR="00F81D8F">
              <w:rPr>
                <w:rFonts w:ascii="Helvetica" w:hAnsi="Helvetica" w:cs="Helvetica"/>
                <w:color w:val="333333"/>
                <w:sz w:val="21"/>
                <w:szCs w:val="21"/>
              </w:rPr>
              <w:t>,</w:t>
            </w:r>
            <w:r>
              <w:rPr>
                <w:rFonts w:ascii="Helvetica" w:hAnsi="Helvetica" w:cs="Helvetica"/>
                <w:color w:val="333333"/>
                <w:sz w:val="21"/>
                <w:szCs w:val="21"/>
              </w:rPr>
              <w:t xml:space="preserve"> of coping with push chairs, small children or awkward luggage – or just a staff culture and seemingly lethargic train despatch that is sometimes seen to typify the reputedly laid back character of west country life but which is more likely an indicator of insufficient platform staffing.  A recent evaluation of actual train performance indicated that, on average, each train between London and Plymouth spent more than 7 minutes in unscheduled dwell time. Improved time keeping, although important to passengers and the 4</w:t>
            </w:r>
            <w:r>
              <w:rPr>
                <w:rFonts w:ascii="Helvetica" w:hAnsi="Helvetica" w:cs="Helvetica"/>
                <w:color w:val="333333"/>
                <w:sz w:val="21"/>
                <w:szCs w:val="21"/>
                <w:vertAlign w:val="superscript"/>
              </w:rPr>
              <w:t>th</w:t>
            </w:r>
            <w:r>
              <w:rPr>
                <w:rFonts w:ascii="Helvetica" w:hAnsi="Helvetica" w:cs="Helvetica"/>
                <w:color w:val="333333"/>
                <w:sz w:val="21"/>
                <w:szCs w:val="21"/>
              </w:rPr>
              <w:t xml:space="preserve"> most important attribute identified by Transport Focus for Great Western’s Long Distance passengers, is not the whole answer.  TravelWatch SouthWest believes that there is significant scope on the Berks &amp; Hants route to the far south west for further infrastructure interventions to deliver improved operational flexibility and line-speeds compatible with the capacity of bi-mode units when operating under diesel power and to relieve congestion choke points (e.g. increased provision of dynamic loops).</w:t>
            </w:r>
            <w:r>
              <w:rPr>
                <w:rFonts w:ascii="Helvetica" w:hAnsi="Helvetica" w:cs="Helvetica"/>
                <w:color w:val="333333"/>
                <w:sz w:val="21"/>
                <w:szCs w:val="21"/>
              </w:rPr>
              <w:br/>
            </w:r>
            <w:r>
              <w:rPr>
                <w:rFonts w:ascii="Helvetica" w:hAnsi="Helvetica" w:cs="Helvetica"/>
                <w:color w:val="333333"/>
                <w:sz w:val="21"/>
                <w:szCs w:val="21"/>
              </w:rPr>
              <w:br/>
            </w:r>
          </w:p>
        </w:tc>
      </w:tr>
    </w:tbl>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25. Why? </w:t>
      </w:r>
    </w:p>
    <w:p w:rsidR="003477A5" w:rsidRDefault="003477A5">
      <w:pPr>
        <w:rPr>
          <w:rFonts w:ascii="Helvetica" w:hAnsi="Helvetica" w:cs="Helvetica"/>
          <w:color w:val="333333"/>
          <w:sz w:val="21"/>
          <w:szCs w:val="21"/>
        </w:rPr>
      </w:pP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A67CBF">
            <w:pPr>
              <w:spacing w:after="240"/>
              <w:rPr>
                <w:rFonts w:ascii="Helvetica" w:hAnsi="Helvetica" w:cs="Helvetica"/>
                <w:color w:val="333333"/>
                <w:sz w:val="21"/>
                <w:szCs w:val="21"/>
              </w:rPr>
            </w:pPr>
            <w:r>
              <w:rPr>
                <w:rFonts w:ascii="Helvetica" w:hAnsi="Helvetica" w:cs="Helvetica"/>
                <w:color w:val="333333"/>
                <w:sz w:val="21"/>
                <w:szCs w:val="21"/>
              </w:rPr>
              <w:t> </w:t>
            </w:r>
          </w:p>
          <w:p w:rsidR="003477A5" w:rsidRDefault="00A67CBF">
            <w:pPr>
              <w:spacing w:after="240"/>
            </w:pPr>
            <w:r>
              <w:rPr>
                <w:rFonts w:ascii="Helvetica" w:hAnsi="Helvetica" w:cs="Helvetica"/>
                <w:color w:val="333333"/>
                <w:sz w:val="21"/>
                <w:szCs w:val="21"/>
              </w:rPr>
              <w:t>Although journey time improvements do not feature amongst the top priorities for Great Western’s long distance passengers, we are conscious of the importance attached by many in the business community in the far south west to independent research-based evidence demonstrating the economic impact of journey times.  For example, Parker Brinkhorst (2014) showed that a thirty minute reduction in journey time between London and Penzance would generate £7.2 billion GVA.  This has reinforced local authorities and other stakeholders concerned with business development to consider journey time reduction as a priority in a way that may not be apparent to what would be a rather more elderly and time rich representative sample of those currently using trains to and from the far south west.</w:t>
            </w:r>
            <w:r>
              <w:rPr>
                <w:rFonts w:ascii="Helvetica" w:hAnsi="Helvetica" w:cs="Helvetica"/>
                <w:color w:val="333333"/>
                <w:sz w:val="21"/>
                <w:szCs w:val="21"/>
              </w:rPr>
              <w:br/>
            </w:r>
          </w:p>
        </w:tc>
      </w:tr>
    </w:tbl>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26. Which services or stations would be disadvantaged by this approach? </w:t>
      </w:r>
    </w:p>
    <w:p w:rsidR="003477A5" w:rsidRDefault="003477A5">
      <w:pPr>
        <w:rPr>
          <w:rFonts w:ascii="Helvetica" w:hAnsi="Helvetica" w:cs="Helvetica"/>
          <w:color w:val="333333"/>
          <w:sz w:val="21"/>
          <w:szCs w:val="21"/>
        </w:rPr>
      </w:pP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A67CBF">
            <w:pPr>
              <w:spacing w:after="240"/>
              <w:rPr>
                <w:rFonts w:ascii="Helvetica" w:hAnsi="Helvetica" w:cs="Helvetica"/>
                <w:color w:val="333333"/>
                <w:sz w:val="21"/>
                <w:szCs w:val="21"/>
              </w:rPr>
            </w:pPr>
            <w:r>
              <w:rPr>
                <w:rFonts w:ascii="Helvetica" w:hAnsi="Helvetica" w:cs="Helvetica"/>
                <w:color w:val="333333"/>
                <w:sz w:val="21"/>
                <w:szCs w:val="21"/>
              </w:rPr>
              <w:t> </w:t>
            </w:r>
          </w:p>
          <w:p w:rsidR="003477A5" w:rsidRDefault="00A67CBF">
            <w:pPr>
              <w:spacing w:after="240"/>
              <w:rPr>
                <w:rFonts w:ascii="Helvetica" w:hAnsi="Helvetica" w:cs="Helvetica"/>
                <w:color w:val="333333"/>
                <w:sz w:val="21"/>
                <w:szCs w:val="21"/>
              </w:rPr>
            </w:pPr>
            <w:r>
              <w:rPr>
                <w:rFonts w:ascii="Helvetica" w:hAnsi="Helvetica" w:cs="Helvetica"/>
                <w:color w:val="333333"/>
                <w:sz w:val="21"/>
                <w:szCs w:val="21"/>
              </w:rPr>
              <w:t>See above, 24.</w:t>
            </w:r>
            <w:r>
              <w:rPr>
                <w:rFonts w:ascii="Helvetica" w:hAnsi="Helvetica" w:cs="Helvetica"/>
                <w:color w:val="333333"/>
                <w:sz w:val="21"/>
                <w:szCs w:val="21"/>
              </w:rPr>
              <w:br/>
            </w:r>
          </w:p>
        </w:tc>
      </w:tr>
    </w:tbl>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27. Why? </w:t>
      </w:r>
    </w:p>
    <w:p w:rsidR="003477A5" w:rsidRDefault="003477A5">
      <w:pPr>
        <w:rPr>
          <w:rFonts w:ascii="Helvetica" w:hAnsi="Helvetica" w:cs="Helvetica"/>
          <w:color w:val="333333"/>
          <w:sz w:val="21"/>
          <w:szCs w:val="21"/>
        </w:rPr>
      </w:pP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A67CBF">
            <w:pPr>
              <w:spacing w:after="240"/>
              <w:rPr>
                <w:rFonts w:ascii="Helvetica" w:hAnsi="Helvetica" w:cs="Helvetica"/>
                <w:color w:val="333333"/>
                <w:sz w:val="21"/>
                <w:szCs w:val="21"/>
              </w:rPr>
            </w:pPr>
            <w:r>
              <w:rPr>
                <w:rFonts w:ascii="Helvetica" w:hAnsi="Helvetica" w:cs="Helvetica"/>
                <w:color w:val="333333"/>
                <w:sz w:val="21"/>
                <w:szCs w:val="21"/>
              </w:rPr>
              <w:t> </w:t>
            </w:r>
          </w:p>
          <w:p w:rsidR="003477A5" w:rsidRDefault="00A67CBF">
            <w:pPr>
              <w:spacing w:after="240"/>
              <w:rPr>
                <w:rFonts w:ascii="Helvetica" w:hAnsi="Helvetica" w:cs="Helvetica"/>
                <w:color w:val="333333"/>
                <w:sz w:val="21"/>
                <w:szCs w:val="21"/>
              </w:rPr>
            </w:pPr>
            <w:r>
              <w:rPr>
                <w:rFonts w:ascii="Helvetica" w:hAnsi="Helvetica" w:cs="Helvetica"/>
                <w:color w:val="333333"/>
                <w:sz w:val="21"/>
                <w:szCs w:val="21"/>
              </w:rPr>
              <w:t>See above, 24.</w:t>
            </w:r>
            <w:r>
              <w:rPr>
                <w:rFonts w:ascii="Helvetica" w:hAnsi="Helvetica" w:cs="Helvetica"/>
                <w:color w:val="333333"/>
                <w:sz w:val="21"/>
                <w:szCs w:val="21"/>
              </w:rPr>
              <w:br/>
            </w:r>
          </w:p>
        </w:tc>
      </w:tr>
    </w:tbl>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28. Are there any locations or routes on the Great Western network where it could be appropriate to reduce station stops in order to speed up longer-distance journeys? </w:t>
      </w:r>
    </w:p>
    <w:p w:rsidR="003477A5" w:rsidRDefault="003477A5">
      <w:pPr>
        <w:rPr>
          <w:rFonts w:ascii="Helvetica" w:hAnsi="Helvetica" w:cs="Helvetica"/>
          <w:color w:val="333333"/>
          <w:sz w:val="21"/>
          <w:szCs w:val="21"/>
        </w:rPr>
      </w:pP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3477A5">
            <w:pPr>
              <w:spacing w:after="240"/>
              <w:rPr>
                <w:rFonts w:ascii="Helvetica" w:hAnsi="Helvetica" w:cs="Helvetica"/>
                <w:color w:val="333333"/>
                <w:sz w:val="21"/>
                <w:szCs w:val="21"/>
              </w:rPr>
            </w:pPr>
          </w:p>
          <w:p w:rsidR="003477A5" w:rsidRDefault="00A67CBF">
            <w:pPr>
              <w:spacing w:after="240"/>
            </w:pPr>
            <w:r>
              <w:rPr>
                <w:rFonts w:ascii="Helvetica" w:hAnsi="Helvetica" w:cs="Helvetica"/>
                <w:color w:val="333333"/>
                <w:sz w:val="21"/>
                <w:szCs w:val="21"/>
              </w:rPr>
              <w:t xml:space="preserve">We consider that, were it possible to reinstate the Bristol-Oxford-(EWR?) service - withdrawn at the beginning of the century in an effort to secure improved reliability on the Great Western Main Line - the number of Bristol trains calling at Didcot could be reduced.  (South Wales’ services would need to retain their to ensure connectivity.)  More generally, the listing in </w:t>
            </w:r>
            <w:r>
              <w:rPr>
                <w:rFonts w:ascii="Helvetica" w:hAnsi="Helvetica" w:cs="Helvetica"/>
                <w:i/>
                <w:color w:val="333333"/>
                <w:sz w:val="21"/>
                <w:szCs w:val="21"/>
              </w:rPr>
              <w:t xml:space="preserve">Connecting the Dots </w:t>
            </w:r>
            <w:r>
              <w:rPr>
                <w:rFonts w:ascii="Helvetica" w:hAnsi="Helvetica" w:cs="Helvetica"/>
                <w:color w:val="333333"/>
                <w:sz w:val="21"/>
                <w:szCs w:val="21"/>
              </w:rPr>
              <w:t>that we referred to in our response to question 19 sets out our collation of responses we received, some of which detailed a possible recast of the timetable for certain routes, distinguishing between fast and semi-fast inter-urban services and local services.</w:t>
            </w:r>
            <w:r>
              <w:rPr>
                <w:rFonts w:ascii="Helvetica" w:hAnsi="Helvetica" w:cs="Helvetica"/>
                <w:color w:val="333333"/>
                <w:sz w:val="21"/>
                <w:szCs w:val="21"/>
              </w:rPr>
              <w:br/>
            </w:r>
            <w:r>
              <w:rPr>
                <w:rFonts w:ascii="Helvetica" w:hAnsi="Helvetica" w:cs="Helvetica"/>
                <w:color w:val="333333"/>
                <w:sz w:val="21"/>
                <w:szCs w:val="21"/>
              </w:rPr>
              <w:br/>
            </w:r>
          </w:p>
        </w:tc>
      </w:tr>
    </w:tbl>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29. Why? </w:t>
      </w:r>
    </w:p>
    <w:p w:rsidR="003477A5" w:rsidRDefault="003477A5">
      <w:pPr>
        <w:rPr>
          <w:rFonts w:ascii="Helvetica" w:hAnsi="Helvetica" w:cs="Helvetica"/>
          <w:color w:val="333333"/>
          <w:sz w:val="21"/>
          <w:szCs w:val="21"/>
        </w:rPr>
      </w:pP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3477A5">
            <w:pPr>
              <w:spacing w:after="240"/>
              <w:rPr>
                <w:rFonts w:ascii="Helvetica" w:hAnsi="Helvetica" w:cs="Helvetica"/>
                <w:color w:val="333333"/>
                <w:sz w:val="21"/>
                <w:szCs w:val="21"/>
              </w:rPr>
            </w:pPr>
          </w:p>
          <w:p w:rsidR="003477A5" w:rsidRDefault="00A67CBF">
            <w:pPr>
              <w:spacing w:after="240"/>
            </w:pPr>
            <w:r>
              <w:rPr>
                <w:rFonts w:ascii="Helvetica" w:hAnsi="Helvetica" w:cs="Helvetica"/>
                <w:color w:val="333333"/>
                <w:sz w:val="21"/>
                <w:szCs w:val="21"/>
              </w:rPr>
              <w:t xml:space="preserve">Please see the explanations in route-by-route summary included in </w:t>
            </w:r>
            <w:r>
              <w:rPr>
                <w:rFonts w:ascii="Helvetica" w:hAnsi="Helvetica" w:cs="Helvetica"/>
                <w:i/>
                <w:color w:val="333333"/>
                <w:sz w:val="21"/>
                <w:szCs w:val="21"/>
              </w:rPr>
              <w:t xml:space="preserve">Connecting the Dot </w:t>
            </w:r>
            <w:r>
              <w:rPr>
                <w:rFonts w:ascii="Helvetica" w:hAnsi="Helvetica" w:cs="Helvetica"/>
                <w:color w:val="333333"/>
                <w:sz w:val="21"/>
                <w:szCs w:val="21"/>
              </w:rPr>
              <w:t>and reproduced above in response to question 19.</w:t>
            </w:r>
          </w:p>
        </w:tc>
      </w:tr>
    </w:tbl>
    <w:p w:rsidR="003477A5" w:rsidRDefault="00A67CBF">
      <w:pPr>
        <w:rPr>
          <w:rFonts w:ascii="Helvetica" w:hAnsi="Helvetica" w:cs="Helvetica"/>
          <w:b/>
          <w:bCs/>
          <w:color w:val="333333"/>
          <w:sz w:val="36"/>
          <w:szCs w:val="36"/>
        </w:rPr>
      </w:pPr>
      <w:r>
        <w:rPr>
          <w:rFonts w:ascii="Helvetica" w:hAnsi="Helvetica" w:cs="Helvetica"/>
          <w:b/>
          <w:bCs/>
          <w:color w:val="333333"/>
          <w:sz w:val="36"/>
          <w:szCs w:val="36"/>
        </w:rPr>
        <w:t xml:space="preserve">12. Direct journeys </w:t>
      </w:r>
    </w:p>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3477A5">
      <w:pPr>
        <w:rPr>
          <w:rFonts w:ascii="Helvetica" w:hAnsi="Helvetica" w:cs="Helvetica"/>
          <w:bCs/>
          <w:color w:val="333333"/>
          <w:sz w:val="21"/>
          <w:szCs w:val="21"/>
        </w:rPr>
      </w:pPr>
    </w:p>
    <w:p w:rsidR="003477A5" w:rsidRDefault="00A67CBF">
      <w:pPr>
        <w:rPr>
          <w:rFonts w:ascii="Helvetica" w:hAnsi="Helvetica" w:cs="Helvetica"/>
          <w:bCs/>
          <w:color w:val="333333"/>
          <w:sz w:val="21"/>
          <w:szCs w:val="21"/>
        </w:rPr>
      </w:pPr>
      <w:r>
        <w:rPr>
          <w:rFonts w:ascii="Helvetica" w:hAnsi="Helvetica" w:cs="Helvetica"/>
          <w:bCs/>
          <w:color w:val="333333"/>
          <w:sz w:val="21"/>
          <w:szCs w:val="21"/>
        </w:rPr>
        <w:t>Whilst passengers value being able to make direct journeys, some direct journeys may be provided more for operational reasons than because an identified market exists, e.g. linking of services together across Bristol between Great Malvern, Cardiff, Gloucester, Westbury, Weston-super-Mare, Taunton and Weymouth.  In these cases, we are unlikely to perpetuate such cross-city linkages, and allowing the next franchisee flexibility to modify service patterns could be important in supporting future service improvements and efficient operations.</w:t>
      </w:r>
      <w:r>
        <w:rPr>
          <w:rFonts w:ascii="Helvetica" w:hAnsi="Helvetica" w:cs="Helvetica"/>
          <w:bCs/>
          <w:color w:val="333333"/>
          <w:sz w:val="21"/>
          <w:szCs w:val="21"/>
        </w:rPr>
        <w:br/>
      </w:r>
      <w:r>
        <w:rPr>
          <w:rFonts w:ascii="Helvetica" w:hAnsi="Helvetica" w:cs="Helvetica"/>
          <w:bCs/>
          <w:color w:val="333333"/>
          <w:sz w:val="21"/>
          <w:szCs w:val="21"/>
        </w:rPr>
        <w:br/>
        <w:t>However, we recognise that there may be aspirations for a wider range of direct journey opportunities, particularly to and from London, and could require the franchisee to develop proposals for these for possible implementation in the franchise from 2022.</w:t>
      </w:r>
      <w:r>
        <w:rPr>
          <w:rFonts w:ascii="Helvetica" w:hAnsi="Helvetica" w:cs="Helvetica"/>
          <w:bCs/>
          <w:color w:val="333333"/>
          <w:sz w:val="21"/>
          <w:szCs w:val="21"/>
        </w:rPr>
        <w:br/>
      </w:r>
      <w:r>
        <w:rPr>
          <w:rFonts w:ascii="Helvetica" w:hAnsi="Helvetica" w:cs="Helvetica"/>
          <w:bCs/>
          <w:color w:val="333333"/>
          <w:sz w:val="21"/>
          <w:szCs w:val="21"/>
        </w:rPr>
        <w:br/>
        <w:t>Where it not feasible to provide direct services, we will expect the franchisee to consider providing suitable connections between their own services where possible, e.g. between main line and branch line services in Devon &amp; Cornwall.  Where connections may be between different operators, we propose to build on the approach used in recent franchise competitions to seek greater collaboration with other operators and local stakeholders to identify the connections that matter most to passengers, and to coordinate their timetables where practicable to provide convenient connections.</w:t>
      </w:r>
    </w:p>
    <w:p w:rsidR="003477A5" w:rsidRDefault="003477A5">
      <w:pPr>
        <w:rPr>
          <w:rFonts w:ascii="Helvetica" w:hAnsi="Helvetica" w:cs="Helvetica"/>
          <w:color w:val="333333"/>
          <w:sz w:val="21"/>
          <w:szCs w:val="21"/>
        </w:rPr>
      </w:pP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30. Which direct services such as those described above should be preserved in the next franchise? </w:t>
      </w:r>
    </w:p>
    <w:p w:rsidR="003477A5" w:rsidRDefault="003477A5">
      <w:pPr>
        <w:rPr>
          <w:rFonts w:ascii="Helvetica" w:hAnsi="Helvetica" w:cs="Helvetica"/>
          <w:color w:val="333333"/>
          <w:sz w:val="21"/>
          <w:szCs w:val="21"/>
        </w:rPr>
      </w:pP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F81D8F" w:rsidRDefault="00F81D8F">
            <w:pPr>
              <w:rPr>
                <w:rFonts w:ascii="Helvetica" w:hAnsi="Helvetica" w:cs="Helvetica"/>
                <w:bCs/>
                <w:color w:val="333333"/>
                <w:sz w:val="21"/>
                <w:szCs w:val="21"/>
              </w:rPr>
            </w:pPr>
          </w:p>
          <w:p w:rsidR="003477A5" w:rsidRDefault="00F81D8F">
            <w:r>
              <w:rPr>
                <w:rFonts w:ascii="Helvetica" w:hAnsi="Helvetica" w:cs="Helvetica"/>
                <w:bCs/>
                <w:color w:val="333333"/>
                <w:sz w:val="21"/>
                <w:szCs w:val="21"/>
              </w:rPr>
              <w:t>Large parts of t</w:t>
            </w:r>
            <w:r w:rsidR="00A67CBF">
              <w:rPr>
                <w:rFonts w:ascii="Helvetica" w:hAnsi="Helvetica" w:cs="Helvetica"/>
                <w:bCs/>
                <w:color w:val="333333"/>
                <w:sz w:val="21"/>
                <w:szCs w:val="21"/>
              </w:rPr>
              <w:t>he south west ha</w:t>
            </w:r>
            <w:r>
              <w:rPr>
                <w:rFonts w:ascii="Helvetica" w:hAnsi="Helvetica" w:cs="Helvetica"/>
                <w:bCs/>
                <w:color w:val="333333"/>
                <w:sz w:val="21"/>
                <w:szCs w:val="21"/>
              </w:rPr>
              <w:t>ve</w:t>
            </w:r>
            <w:r w:rsidR="00A67CBF">
              <w:rPr>
                <w:rFonts w:ascii="Helvetica" w:hAnsi="Helvetica" w:cs="Helvetica"/>
                <w:bCs/>
                <w:color w:val="333333"/>
                <w:sz w:val="21"/>
                <w:szCs w:val="21"/>
              </w:rPr>
              <w:t xml:space="preserve"> a demographic skew towards a population profile that is older than that in other parts of the UK. </w:t>
            </w:r>
            <w:r w:rsidR="00A67CBF">
              <w:rPr>
                <w:rFonts w:ascii="Helvetica" w:hAnsi="Helvetica" w:cs="Helvetica"/>
                <w:b/>
                <w:bCs/>
                <w:color w:val="333333"/>
                <w:sz w:val="21"/>
                <w:szCs w:val="21"/>
              </w:rPr>
              <w:t>The potential rail market is consequently more dependent on public transport which also needs to be age-friendly</w:t>
            </w:r>
            <w:r w:rsidR="00A67CBF">
              <w:rPr>
                <w:rFonts w:ascii="Helvetica" w:hAnsi="Helvetica" w:cs="Helvetica"/>
                <w:bCs/>
                <w:color w:val="333333"/>
                <w:sz w:val="21"/>
                <w:szCs w:val="21"/>
              </w:rPr>
              <w:t xml:space="preserve">.  </w:t>
            </w:r>
            <w:r w:rsidR="00A67CBF">
              <w:rPr>
                <w:rFonts w:ascii="Helvetica" w:hAnsi="Helvetica" w:cs="Helvetica"/>
                <w:b/>
                <w:bCs/>
                <w:color w:val="333333"/>
                <w:sz w:val="21"/>
                <w:szCs w:val="21"/>
              </w:rPr>
              <w:t>Direct or through services are an important factor in maintaining connectivity and accessibility</w:t>
            </w:r>
            <w:r w:rsidR="00A67CBF">
              <w:rPr>
                <w:rFonts w:ascii="Helvetica" w:hAnsi="Helvetica" w:cs="Helvetica"/>
                <w:bCs/>
                <w:color w:val="333333"/>
                <w:sz w:val="21"/>
                <w:szCs w:val="21"/>
              </w:rPr>
              <w:t xml:space="preserve"> and, even when they involve additional calls, may result in shorter end-to-end journey times for many passengers.</w:t>
            </w:r>
          </w:p>
          <w:p w:rsidR="003477A5" w:rsidRDefault="003477A5">
            <w:pPr>
              <w:rPr>
                <w:rFonts w:ascii="Helvetica" w:hAnsi="Helvetica" w:cs="Helvetica"/>
                <w:bCs/>
                <w:color w:val="333333"/>
                <w:sz w:val="21"/>
                <w:szCs w:val="21"/>
              </w:rPr>
            </w:pPr>
          </w:p>
          <w:p w:rsidR="003477A5" w:rsidRDefault="00A67CBF">
            <w:pPr>
              <w:spacing w:after="240"/>
            </w:pPr>
            <w:r>
              <w:rPr>
                <w:rFonts w:ascii="Helvetica" w:hAnsi="Helvetica" w:cs="Helvetica"/>
                <w:color w:val="333333"/>
                <w:sz w:val="21"/>
                <w:szCs w:val="21"/>
              </w:rPr>
              <w:t xml:space="preserve">As noted in our earlier responses, this issue of passenger attitudes to the importance of through journey opportunities was examined by Passenger Focus in research undertaken in connection with the aborted planned renewal in 2013 of the Great Western Franchise.  It showed an aggregate of </w:t>
            </w:r>
            <w:r>
              <w:rPr>
                <w:rFonts w:ascii="Helvetica" w:hAnsi="Helvetica" w:cs="Helvetica"/>
                <w:b/>
                <w:color w:val="333333"/>
                <w:sz w:val="21"/>
                <w:szCs w:val="21"/>
              </w:rPr>
              <w:t>31% of passengers surveyed whilst using inter-regional services would have been unlikely to make the journey if there had been no direct services</w:t>
            </w:r>
            <w:r>
              <w:rPr>
                <w:rFonts w:ascii="Helvetica" w:hAnsi="Helvetica" w:cs="Helvetica"/>
                <w:color w:val="333333"/>
                <w:sz w:val="21"/>
                <w:szCs w:val="21"/>
              </w:rPr>
              <w:t xml:space="preserve"> and if they had to change trains.  Resistance on this service was highest amongst business travellers, occasional travellers and, particularly, those aged 65+.  While this level of consumer resistance might be mitigated overall by carefully planned cross or same platform connections and the assistance of suitably trained staff, we consider that the particular (elderly) market served by this service placed particular value of being able to make the journey without a change.</w:t>
            </w:r>
          </w:p>
          <w:p w:rsidR="003477A5" w:rsidRDefault="00A67CBF">
            <w:pPr>
              <w:spacing w:after="240"/>
            </w:pPr>
            <w:r>
              <w:rPr>
                <w:rFonts w:ascii="Helvetica" w:hAnsi="Helvetica" w:cs="Helvetica"/>
                <w:color w:val="333333"/>
                <w:sz w:val="21"/>
                <w:szCs w:val="21"/>
              </w:rPr>
              <w:t xml:space="preserve">Specifically, we attach particular priority to the maintenance of the direct service linking South Wales with the South Coast (typically </w:t>
            </w:r>
            <w:r>
              <w:rPr>
                <w:rFonts w:ascii="Helvetica" w:hAnsi="Helvetica" w:cs="Helvetica"/>
                <w:b/>
                <w:color w:val="333333"/>
                <w:sz w:val="21"/>
                <w:szCs w:val="21"/>
              </w:rPr>
              <w:t>Cardiff-Portsmouth &amp; Southsea</w:t>
            </w:r>
            <w:r>
              <w:rPr>
                <w:rFonts w:ascii="Helvetica" w:hAnsi="Helvetica" w:cs="Helvetica"/>
                <w:color w:val="333333"/>
                <w:sz w:val="21"/>
                <w:szCs w:val="21"/>
              </w:rPr>
              <w:t xml:space="preserve">) for which there is a well-established and historic market not least between the military establishments on the south coast, Salisbury Plain and the </w:t>
            </w:r>
            <w:r>
              <w:rPr>
                <w:rFonts w:ascii="Helvetica" w:hAnsi="Helvetica" w:cs="Helvetica"/>
                <w:b/>
                <w:color w:val="333333"/>
                <w:sz w:val="21"/>
                <w:szCs w:val="21"/>
              </w:rPr>
              <w:t>Defence Equipment &amp; Support Headquarters at Filton Abbey Wood</w:t>
            </w:r>
            <w:r>
              <w:rPr>
                <w:rFonts w:ascii="Helvetica" w:hAnsi="Helvetica" w:cs="Helvetica"/>
                <w:color w:val="333333"/>
                <w:sz w:val="21"/>
                <w:szCs w:val="21"/>
              </w:rPr>
              <w:t>.  We strongly oppose suggestions that this service might usefully be truncated at Bristol in its westward extent.  We would also respectfully draw attention to the launch by the Government on 22</w:t>
            </w:r>
            <w:r>
              <w:rPr>
                <w:rFonts w:ascii="Helvetica" w:hAnsi="Helvetica" w:cs="Helvetica"/>
                <w:color w:val="333333"/>
                <w:sz w:val="21"/>
                <w:szCs w:val="21"/>
                <w:vertAlign w:val="superscript"/>
              </w:rPr>
              <w:t>nd</w:t>
            </w:r>
            <w:r>
              <w:rPr>
                <w:rFonts w:ascii="Helvetica" w:hAnsi="Helvetica" w:cs="Helvetica"/>
                <w:color w:val="333333"/>
                <w:sz w:val="21"/>
                <w:szCs w:val="21"/>
              </w:rPr>
              <w:t xml:space="preserve"> January of the first Severn Growth Summit, exploring how the links between the economies of South Wales and the South West of England can be strengthened further following the announcement of the abolition of the Severn Tolls.  Likewise, we would wish to see maintenance of the through service from </w:t>
            </w:r>
            <w:r>
              <w:rPr>
                <w:rFonts w:ascii="Helvetica" w:hAnsi="Helvetica" w:cs="Helvetica"/>
                <w:b/>
                <w:color w:val="333333"/>
                <w:sz w:val="21"/>
                <w:szCs w:val="21"/>
              </w:rPr>
              <w:t xml:space="preserve">Weymouth to stations north of </w:t>
            </w:r>
            <w:r w:rsidRPr="00F81D8F">
              <w:rPr>
                <w:rFonts w:ascii="Helvetica" w:hAnsi="Helvetica" w:cs="Helvetica"/>
                <w:b/>
                <w:color w:val="333333"/>
                <w:sz w:val="21"/>
                <w:szCs w:val="21"/>
              </w:rPr>
              <w:t>Bristol</w:t>
            </w:r>
            <w:r>
              <w:rPr>
                <w:rFonts w:ascii="Helvetica" w:hAnsi="Helvetica" w:cs="Helvetica"/>
                <w:color w:val="333333"/>
                <w:sz w:val="21"/>
                <w:szCs w:val="21"/>
              </w:rPr>
              <w:t>.</w:t>
            </w:r>
          </w:p>
          <w:p w:rsidR="003477A5" w:rsidRDefault="00A67CBF">
            <w:pPr>
              <w:spacing w:after="240"/>
            </w:pPr>
            <w:r>
              <w:rPr>
                <w:rFonts w:ascii="Helvetica" w:hAnsi="Helvetica" w:cs="Helvetica"/>
                <w:color w:val="333333"/>
                <w:sz w:val="21"/>
                <w:szCs w:val="21"/>
              </w:rPr>
              <w:t xml:space="preserve">We would also wish to ensure continuation of the </w:t>
            </w:r>
            <w:r>
              <w:rPr>
                <w:rFonts w:ascii="Helvetica" w:hAnsi="Helvetica" w:cs="Helvetica"/>
                <w:b/>
                <w:color w:val="333333"/>
                <w:sz w:val="21"/>
                <w:szCs w:val="21"/>
              </w:rPr>
              <w:t>Reading-Gatwick Airport</w:t>
            </w:r>
            <w:r>
              <w:rPr>
                <w:rFonts w:ascii="Helvetica" w:hAnsi="Helvetica" w:cs="Helvetica"/>
                <w:color w:val="333333"/>
                <w:sz w:val="21"/>
                <w:szCs w:val="21"/>
              </w:rPr>
              <w:t xml:space="preserve"> service, with enhanced frequencies and better cross-platform interchange at Reading with Great Western Main Line services.</w:t>
            </w:r>
          </w:p>
          <w:p w:rsidR="003477A5" w:rsidRDefault="00A67CBF">
            <w:pPr>
              <w:spacing w:after="240"/>
            </w:pPr>
            <w:r>
              <w:rPr>
                <w:rFonts w:ascii="Helvetica" w:hAnsi="Helvetica" w:cs="Helvetica"/>
                <w:color w:val="333333"/>
                <w:sz w:val="21"/>
                <w:szCs w:val="21"/>
              </w:rPr>
              <w:t xml:space="preserve">TravelWatch SouthWest is aware of strong pressure from those with an interest in the </w:t>
            </w:r>
            <w:r>
              <w:rPr>
                <w:rFonts w:ascii="Helvetica" w:hAnsi="Helvetica" w:cs="Helvetica"/>
                <w:b/>
                <w:color w:val="333333"/>
                <w:sz w:val="21"/>
                <w:szCs w:val="21"/>
              </w:rPr>
              <w:t>Torba</w:t>
            </w:r>
            <w:r>
              <w:rPr>
                <w:rFonts w:ascii="Helvetica" w:hAnsi="Helvetica" w:cs="Helvetica"/>
                <w:color w:val="333333"/>
                <w:sz w:val="21"/>
                <w:szCs w:val="21"/>
              </w:rPr>
              <w:t>y market in favour of an improvement in the existing provision of direct services, including from north of Bristol – a traditional catchment. Torbay stakeholders emphasise its sizable population (larger than that of the city of Exeter) and the significance of its place as a domestic destination for leisure visits – one million visitors stay overnight and around three million visit on day trips.</w:t>
            </w:r>
            <w:r>
              <w:rPr>
                <w:rFonts w:ascii="Helvetica" w:hAnsi="Helvetica" w:cs="Helvetica"/>
                <w:color w:val="333333"/>
                <w:sz w:val="21"/>
                <w:szCs w:val="21"/>
              </w:rPr>
              <w:br/>
            </w:r>
          </w:p>
        </w:tc>
      </w:tr>
    </w:tbl>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31. Why? </w:t>
      </w:r>
    </w:p>
    <w:p w:rsidR="003477A5" w:rsidRDefault="003477A5">
      <w:pPr>
        <w:rPr>
          <w:rFonts w:ascii="Helvetica" w:hAnsi="Helvetica" w:cs="Helvetica"/>
          <w:color w:val="333333"/>
          <w:sz w:val="21"/>
          <w:szCs w:val="21"/>
        </w:rPr>
      </w:pP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A67CBF">
            <w:pPr>
              <w:spacing w:after="240"/>
              <w:rPr>
                <w:rFonts w:ascii="Helvetica" w:hAnsi="Helvetica" w:cs="Helvetica"/>
                <w:color w:val="333333"/>
                <w:sz w:val="21"/>
                <w:szCs w:val="21"/>
              </w:rPr>
            </w:pPr>
            <w:r>
              <w:rPr>
                <w:rFonts w:ascii="Helvetica" w:hAnsi="Helvetica" w:cs="Helvetica"/>
                <w:color w:val="333333"/>
                <w:sz w:val="21"/>
                <w:szCs w:val="21"/>
              </w:rPr>
              <w:t> </w:t>
            </w:r>
          </w:p>
          <w:p w:rsidR="003477A5" w:rsidRDefault="00A67CBF">
            <w:pPr>
              <w:spacing w:after="240"/>
              <w:rPr>
                <w:rFonts w:ascii="Helvetica" w:hAnsi="Helvetica" w:cs="Helvetica"/>
                <w:color w:val="333333"/>
                <w:sz w:val="21"/>
                <w:szCs w:val="21"/>
              </w:rPr>
            </w:pPr>
            <w:r>
              <w:rPr>
                <w:rFonts w:ascii="Helvetica" w:hAnsi="Helvetica" w:cs="Helvetica"/>
                <w:color w:val="333333"/>
                <w:sz w:val="21"/>
                <w:szCs w:val="21"/>
              </w:rPr>
              <w:t>See above, 30</w:t>
            </w:r>
            <w:r>
              <w:rPr>
                <w:rFonts w:ascii="Helvetica" w:hAnsi="Helvetica" w:cs="Helvetica"/>
                <w:color w:val="333333"/>
                <w:sz w:val="21"/>
                <w:szCs w:val="21"/>
              </w:rPr>
              <w:br/>
            </w:r>
            <w:r>
              <w:rPr>
                <w:rFonts w:ascii="Helvetica" w:hAnsi="Helvetica" w:cs="Helvetica"/>
                <w:color w:val="333333"/>
                <w:sz w:val="21"/>
                <w:szCs w:val="21"/>
              </w:rPr>
              <w:br/>
            </w:r>
          </w:p>
        </w:tc>
      </w:tr>
    </w:tbl>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32. Are there any other stations between which you feel direct services should be provided? </w:t>
      </w:r>
    </w:p>
    <w:p w:rsidR="003477A5" w:rsidRDefault="003477A5">
      <w:pPr>
        <w:rPr>
          <w:rFonts w:ascii="Helvetica" w:hAnsi="Helvetica" w:cs="Helvetica"/>
          <w:color w:val="333333"/>
          <w:sz w:val="21"/>
          <w:szCs w:val="21"/>
        </w:rPr>
      </w:pP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3477A5">
            <w:pPr>
              <w:spacing w:after="240"/>
              <w:rPr>
                <w:rFonts w:ascii="Helvetica" w:hAnsi="Helvetica" w:cs="Helvetica"/>
                <w:color w:val="333333"/>
                <w:sz w:val="21"/>
                <w:szCs w:val="21"/>
              </w:rPr>
            </w:pPr>
          </w:p>
          <w:p w:rsidR="003477A5" w:rsidRDefault="00A67CBF">
            <w:pPr>
              <w:spacing w:after="240"/>
            </w:pPr>
            <w:r>
              <w:rPr>
                <w:rFonts w:ascii="Helvetica" w:hAnsi="Helvetica" w:cs="Helvetica"/>
                <w:color w:val="333333"/>
                <w:sz w:val="21"/>
                <w:szCs w:val="21"/>
              </w:rPr>
              <w:t xml:space="preserve">We consider that direct services should be provided between the </w:t>
            </w:r>
            <w:r>
              <w:rPr>
                <w:rFonts w:ascii="Helvetica" w:hAnsi="Helvetica" w:cs="Helvetica"/>
                <w:b/>
                <w:color w:val="333333"/>
                <w:sz w:val="21"/>
                <w:szCs w:val="21"/>
              </w:rPr>
              <w:t>Wiltshire Growth Crescent and the Solent, including Southampton Airport</w:t>
            </w:r>
            <w:r>
              <w:rPr>
                <w:rFonts w:ascii="Helvetica" w:hAnsi="Helvetica" w:cs="Helvetica"/>
                <w:color w:val="333333"/>
                <w:sz w:val="21"/>
                <w:szCs w:val="21"/>
              </w:rPr>
              <w:t xml:space="preserve">.  We are aware that the Trans-Wilts Community Rail Partnership, supported by research from SLA Rail, has demonstrated the case for integration of the GWR’s existing Swindon-Westbury service and SWR’s Salisbury-Southampton Central-Southampton Airport Parkway (Three Rivers’ Partnership) service. </w:t>
            </w:r>
          </w:p>
          <w:p w:rsidR="003477A5" w:rsidRDefault="00A67CBF">
            <w:pPr>
              <w:spacing w:after="240"/>
            </w:pPr>
            <w:r>
              <w:rPr>
                <w:rFonts w:ascii="Helvetica" w:hAnsi="Helvetica" w:cs="Helvetica"/>
                <w:color w:val="333333"/>
                <w:sz w:val="21"/>
                <w:szCs w:val="21"/>
              </w:rPr>
              <w:t xml:space="preserve">There are also potential opportunities for some </w:t>
            </w:r>
            <w:r>
              <w:rPr>
                <w:rFonts w:ascii="Helvetica" w:hAnsi="Helvetica" w:cs="Helvetica"/>
                <w:b/>
                <w:color w:val="333333"/>
                <w:sz w:val="21"/>
                <w:szCs w:val="21"/>
              </w:rPr>
              <w:t>‘quick wins’</w:t>
            </w:r>
            <w:r>
              <w:rPr>
                <w:rFonts w:ascii="Helvetica" w:hAnsi="Helvetica" w:cs="Helvetica"/>
                <w:color w:val="333333"/>
                <w:sz w:val="21"/>
                <w:szCs w:val="21"/>
              </w:rPr>
              <w:t xml:space="preserve"> through reinstatement of services using extant infrastructure.  For example: </w:t>
            </w:r>
          </w:p>
          <w:p w:rsidR="003477A5" w:rsidRDefault="00A67CBF">
            <w:pPr>
              <w:pStyle w:val="ListParagraph"/>
              <w:numPr>
                <w:ilvl w:val="0"/>
                <w:numId w:val="17"/>
              </w:numPr>
              <w:spacing w:after="240"/>
            </w:pPr>
            <w:r>
              <w:rPr>
                <w:rFonts w:ascii="Helvetica" w:hAnsi="Helvetica" w:cs="Helvetica"/>
                <w:color w:val="333333"/>
                <w:sz w:val="21"/>
                <w:szCs w:val="21"/>
              </w:rPr>
              <w:t xml:space="preserve">Reinstatement of National Rail services to </w:t>
            </w:r>
            <w:r>
              <w:rPr>
                <w:rFonts w:ascii="Helvetica" w:hAnsi="Helvetica" w:cs="Helvetica"/>
                <w:b/>
                <w:color w:val="333333"/>
                <w:sz w:val="21"/>
                <w:szCs w:val="21"/>
              </w:rPr>
              <w:t>Minehead</w:t>
            </w:r>
            <w:r>
              <w:rPr>
                <w:rFonts w:ascii="Helvetica" w:hAnsi="Helvetica" w:cs="Helvetica"/>
                <w:color w:val="333333"/>
                <w:sz w:val="21"/>
                <w:szCs w:val="21"/>
              </w:rPr>
              <w:t xml:space="preserve"> over the metals of the West Somerset Railway would restore much needed connectivity to an area of West Somerset with significant deprivation and connectivity challenges.  </w:t>
            </w:r>
          </w:p>
          <w:p w:rsidR="003477A5" w:rsidRDefault="00A67CBF">
            <w:pPr>
              <w:pStyle w:val="ListParagraph"/>
              <w:numPr>
                <w:ilvl w:val="0"/>
                <w:numId w:val="17"/>
              </w:numPr>
              <w:spacing w:after="240"/>
            </w:pPr>
            <w:r>
              <w:rPr>
                <w:rFonts w:ascii="Helvetica" w:hAnsi="Helvetica" w:cs="Helvetica"/>
                <w:color w:val="333333"/>
                <w:sz w:val="21"/>
                <w:szCs w:val="21"/>
              </w:rPr>
              <w:t xml:space="preserve">A similar case can be made for reinstatement of weekday services to </w:t>
            </w:r>
            <w:r>
              <w:rPr>
                <w:rFonts w:ascii="Helvetica" w:hAnsi="Helvetica" w:cs="Helvetica"/>
                <w:b/>
                <w:color w:val="333333"/>
                <w:sz w:val="21"/>
                <w:szCs w:val="21"/>
              </w:rPr>
              <w:t>Okehampton</w:t>
            </w:r>
            <w:r>
              <w:rPr>
                <w:rFonts w:ascii="Helvetica" w:hAnsi="Helvetica" w:cs="Helvetica"/>
                <w:color w:val="333333"/>
                <w:sz w:val="21"/>
                <w:szCs w:val="21"/>
              </w:rPr>
              <w:t xml:space="preserve"> as a railhead for the economies of North and West Devon and North Cornwall. </w:t>
            </w:r>
          </w:p>
          <w:p w:rsidR="003477A5" w:rsidRDefault="00A67CBF">
            <w:pPr>
              <w:pStyle w:val="ListParagraph"/>
              <w:numPr>
                <w:ilvl w:val="0"/>
                <w:numId w:val="17"/>
              </w:numPr>
              <w:spacing w:after="240"/>
            </w:pPr>
            <w:r>
              <w:rPr>
                <w:rFonts w:ascii="Helvetica" w:hAnsi="Helvetica" w:cs="Helvetica"/>
                <w:color w:val="333333"/>
                <w:sz w:val="21"/>
                <w:szCs w:val="21"/>
              </w:rPr>
              <w:t xml:space="preserve">Reinstatement of scheduled National Rail services approximately haslf a mile southwards from Paignton to a new Torbay Parkway station located at Network Rail’s </w:t>
            </w:r>
            <w:r>
              <w:rPr>
                <w:rFonts w:ascii="Helvetica" w:hAnsi="Helvetica" w:cs="Helvetica"/>
                <w:b/>
                <w:color w:val="333333"/>
                <w:sz w:val="21"/>
                <w:szCs w:val="21"/>
              </w:rPr>
              <w:t>Goodrington</w:t>
            </w:r>
            <w:r>
              <w:rPr>
                <w:rFonts w:ascii="Helvetica" w:hAnsi="Helvetica" w:cs="Helvetica"/>
                <w:color w:val="333333"/>
                <w:sz w:val="21"/>
                <w:szCs w:val="21"/>
              </w:rPr>
              <w:t xml:space="preserve"> </w:t>
            </w:r>
            <w:r>
              <w:rPr>
                <w:rFonts w:ascii="Helvetica" w:hAnsi="Helvetica" w:cs="Helvetica"/>
                <w:b/>
                <w:color w:val="333333"/>
                <w:sz w:val="21"/>
                <w:szCs w:val="21"/>
              </w:rPr>
              <w:t>Sands</w:t>
            </w:r>
            <w:r>
              <w:rPr>
                <w:rFonts w:ascii="Helvetica" w:hAnsi="Helvetica" w:cs="Helvetica"/>
                <w:color w:val="333333"/>
                <w:sz w:val="21"/>
                <w:szCs w:val="21"/>
              </w:rPr>
              <w:t xml:space="preserve"> carriage sidings (where, in contrast to the situation at existing Torbay Line stations, considerable under-utilised car parking is available in the Clennon Valley and Quay West car parks, adjacent to the A379, the South Devon Coast Road). </w:t>
            </w:r>
          </w:p>
          <w:p w:rsidR="003477A5" w:rsidRDefault="00A67CBF">
            <w:pPr>
              <w:pStyle w:val="ListParagraph"/>
              <w:numPr>
                <w:ilvl w:val="0"/>
                <w:numId w:val="17"/>
              </w:numPr>
              <w:spacing w:after="240"/>
            </w:pPr>
            <w:r>
              <w:rPr>
                <w:rFonts w:ascii="Helvetica" w:hAnsi="Helvetica" w:cs="Helvetica"/>
                <w:color w:val="333333"/>
                <w:sz w:val="21"/>
                <w:szCs w:val="21"/>
              </w:rPr>
              <w:t xml:space="preserve">Investment in a signal at </w:t>
            </w:r>
            <w:r>
              <w:rPr>
                <w:rFonts w:ascii="Helvetica" w:hAnsi="Helvetica" w:cs="Helvetica"/>
                <w:b/>
                <w:color w:val="333333"/>
                <w:sz w:val="21"/>
                <w:szCs w:val="21"/>
              </w:rPr>
              <w:t>Cranbrook</w:t>
            </w:r>
            <w:r>
              <w:rPr>
                <w:rFonts w:ascii="Helvetica" w:hAnsi="Helvetica" w:cs="Helvetica"/>
                <w:color w:val="333333"/>
                <w:sz w:val="21"/>
                <w:szCs w:val="21"/>
              </w:rPr>
              <w:t xml:space="preserve"> that would enable extension of Barnstaple-Exeter services to turn-back there, without the need for further units or crews, as a precursor of completion of the infrastructure works necessary for extension of the service to </w:t>
            </w:r>
            <w:r>
              <w:rPr>
                <w:rFonts w:ascii="Helvetica" w:hAnsi="Helvetica" w:cs="Helvetica"/>
                <w:b/>
                <w:color w:val="333333"/>
                <w:sz w:val="21"/>
                <w:szCs w:val="21"/>
              </w:rPr>
              <w:t>Axminster</w:t>
            </w:r>
            <w:r>
              <w:rPr>
                <w:rFonts w:ascii="Helvetica" w:hAnsi="Helvetica" w:cs="Helvetica"/>
                <w:color w:val="333333"/>
                <w:sz w:val="21"/>
                <w:szCs w:val="21"/>
              </w:rPr>
              <w:br/>
            </w:r>
          </w:p>
        </w:tc>
      </w:tr>
    </w:tbl>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33. Why? </w:t>
      </w:r>
    </w:p>
    <w:p w:rsidR="003477A5" w:rsidRDefault="003477A5">
      <w:pPr>
        <w:rPr>
          <w:rFonts w:ascii="Helvetica" w:hAnsi="Helvetica" w:cs="Helvetica"/>
          <w:color w:val="333333"/>
          <w:sz w:val="21"/>
          <w:szCs w:val="21"/>
        </w:rPr>
      </w:pP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A67CBF">
            <w:pPr>
              <w:spacing w:after="240"/>
              <w:rPr>
                <w:rFonts w:ascii="Helvetica" w:hAnsi="Helvetica" w:cs="Helvetica"/>
                <w:color w:val="333333"/>
                <w:sz w:val="21"/>
                <w:szCs w:val="21"/>
              </w:rPr>
            </w:pPr>
            <w:r>
              <w:rPr>
                <w:rFonts w:ascii="Helvetica" w:hAnsi="Helvetica" w:cs="Helvetica"/>
                <w:color w:val="333333"/>
                <w:sz w:val="21"/>
                <w:szCs w:val="21"/>
              </w:rPr>
              <w:t> See above, 32.</w:t>
            </w:r>
            <w:r>
              <w:rPr>
                <w:rFonts w:ascii="Helvetica" w:hAnsi="Helvetica" w:cs="Helvetica"/>
                <w:color w:val="333333"/>
                <w:sz w:val="21"/>
                <w:szCs w:val="21"/>
              </w:rPr>
              <w:br/>
            </w:r>
            <w:r>
              <w:rPr>
                <w:rFonts w:ascii="Helvetica" w:hAnsi="Helvetica" w:cs="Helvetica"/>
                <w:color w:val="333333"/>
                <w:sz w:val="21"/>
                <w:szCs w:val="21"/>
              </w:rPr>
              <w:br/>
            </w:r>
            <w:r>
              <w:rPr>
                <w:rFonts w:ascii="Helvetica" w:hAnsi="Helvetica" w:cs="Helvetica"/>
                <w:color w:val="333333"/>
                <w:sz w:val="21"/>
                <w:szCs w:val="21"/>
              </w:rPr>
              <w:br/>
            </w:r>
          </w:p>
        </w:tc>
      </w:tr>
    </w:tbl>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34. At which locations should connections between different services be improved? </w:t>
      </w:r>
    </w:p>
    <w:p w:rsidR="003477A5" w:rsidRDefault="003477A5">
      <w:pPr>
        <w:rPr>
          <w:rFonts w:ascii="Helvetica" w:hAnsi="Helvetica" w:cs="Helvetica"/>
          <w:color w:val="333333"/>
          <w:sz w:val="21"/>
          <w:szCs w:val="21"/>
        </w:rPr>
      </w:pP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3477A5">
            <w:pPr>
              <w:pStyle w:val="ListParagraph"/>
              <w:ind w:left="360"/>
              <w:rPr>
                <w:rFonts w:ascii="Helvetica" w:hAnsi="Helvetica" w:cs="Helvetica"/>
                <w:color w:val="333333"/>
                <w:sz w:val="21"/>
                <w:szCs w:val="21"/>
              </w:rPr>
            </w:pPr>
          </w:p>
          <w:p w:rsidR="003477A5" w:rsidRDefault="00A67CBF">
            <w:pPr>
              <w:pStyle w:val="ListParagraph"/>
              <w:numPr>
                <w:ilvl w:val="0"/>
                <w:numId w:val="21"/>
              </w:numPr>
            </w:pPr>
            <w:r>
              <w:rPr>
                <w:rFonts w:ascii="Helvetica" w:hAnsi="Helvetica" w:cs="Helvetica"/>
                <w:b/>
                <w:color w:val="333333"/>
                <w:sz w:val="21"/>
                <w:szCs w:val="21"/>
              </w:rPr>
              <w:t>Newton Abbott</w:t>
            </w:r>
            <w:r>
              <w:rPr>
                <w:rFonts w:ascii="Helvetica" w:hAnsi="Helvetica" w:cs="Helvetica"/>
                <w:color w:val="333333"/>
                <w:sz w:val="21"/>
                <w:szCs w:val="21"/>
              </w:rPr>
              <w:t xml:space="preserve"> (There is concern that Torbay line connection times here will be eroded by timetable changes currently proposed for December 2018),</w:t>
            </w:r>
          </w:p>
          <w:p w:rsidR="003477A5" w:rsidRDefault="00A67CBF">
            <w:pPr>
              <w:pStyle w:val="ListParagraph"/>
              <w:numPr>
                <w:ilvl w:val="0"/>
                <w:numId w:val="21"/>
              </w:numPr>
            </w:pPr>
            <w:r>
              <w:rPr>
                <w:rFonts w:ascii="Helvetica" w:hAnsi="Helvetica" w:cs="Helvetica"/>
                <w:b/>
                <w:color w:val="333333"/>
                <w:sz w:val="21"/>
                <w:szCs w:val="21"/>
              </w:rPr>
              <w:t>Exeter St Davids</w:t>
            </w:r>
            <w:r>
              <w:rPr>
                <w:rFonts w:ascii="Helvetica" w:hAnsi="Helvetica" w:cs="Helvetica"/>
                <w:color w:val="333333"/>
                <w:sz w:val="21"/>
                <w:szCs w:val="21"/>
              </w:rPr>
              <w:t xml:space="preserve"> (Exmouth line connectivity may be eroded by proposed December 2018 timetable changes),</w:t>
            </w:r>
          </w:p>
          <w:p w:rsidR="003477A5" w:rsidRDefault="00A67CBF">
            <w:pPr>
              <w:pStyle w:val="ListParagraph"/>
              <w:numPr>
                <w:ilvl w:val="0"/>
                <w:numId w:val="21"/>
              </w:numPr>
              <w:rPr>
                <w:rFonts w:ascii="Helvetica" w:hAnsi="Helvetica" w:cs="Helvetica"/>
                <w:b/>
                <w:color w:val="333333"/>
                <w:sz w:val="21"/>
                <w:szCs w:val="21"/>
              </w:rPr>
            </w:pPr>
            <w:r>
              <w:rPr>
                <w:rFonts w:ascii="Helvetica" w:hAnsi="Helvetica" w:cs="Helvetica"/>
                <w:b/>
                <w:color w:val="333333"/>
                <w:sz w:val="21"/>
                <w:szCs w:val="21"/>
              </w:rPr>
              <w:t>Westbury</w:t>
            </w:r>
          </w:p>
          <w:p w:rsidR="003477A5" w:rsidRDefault="00A67CBF">
            <w:pPr>
              <w:pStyle w:val="ListParagraph"/>
              <w:numPr>
                <w:ilvl w:val="0"/>
                <w:numId w:val="21"/>
              </w:numPr>
            </w:pPr>
            <w:r>
              <w:rPr>
                <w:rFonts w:ascii="Helvetica" w:hAnsi="Helvetica" w:cs="Helvetica"/>
                <w:b/>
                <w:color w:val="333333"/>
                <w:sz w:val="21"/>
                <w:szCs w:val="21"/>
              </w:rPr>
              <w:t>Castle Cary</w:t>
            </w:r>
            <w:r>
              <w:rPr>
                <w:rFonts w:ascii="Helvetica" w:hAnsi="Helvetica" w:cs="Helvetica"/>
                <w:color w:val="333333"/>
                <w:sz w:val="21"/>
                <w:szCs w:val="21"/>
              </w:rPr>
              <w:t xml:space="preserve"> (Weymouth line connectivity with Berks &amp; Hants services both east and west bound.)</w:t>
            </w:r>
          </w:p>
          <w:p w:rsidR="003477A5" w:rsidRDefault="00A67CBF">
            <w:pPr>
              <w:pStyle w:val="ListParagraph"/>
              <w:numPr>
                <w:ilvl w:val="0"/>
                <w:numId w:val="21"/>
              </w:numPr>
            </w:pPr>
            <w:r>
              <w:rPr>
                <w:rFonts w:ascii="Helvetica" w:hAnsi="Helvetica" w:cs="Helvetica"/>
                <w:b/>
                <w:color w:val="333333"/>
                <w:sz w:val="21"/>
                <w:szCs w:val="21"/>
              </w:rPr>
              <w:t>Reading</w:t>
            </w:r>
            <w:r>
              <w:rPr>
                <w:rFonts w:ascii="Helvetica" w:hAnsi="Helvetica" w:cs="Helvetica"/>
                <w:color w:val="333333"/>
                <w:sz w:val="21"/>
                <w:szCs w:val="21"/>
              </w:rPr>
              <w:t xml:space="preserve"> (improve ease of access to Gatwick Airport service for those with heavy luggage.)</w:t>
            </w:r>
            <w:r>
              <w:rPr>
                <w:rFonts w:ascii="Helvetica" w:hAnsi="Helvetica" w:cs="Helvetica"/>
                <w:color w:val="333333"/>
                <w:sz w:val="21"/>
                <w:szCs w:val="21"/>
              </w:rPr>
              <w:br/>
            </w:r>
            <w:r>
              <w:rPr>
                <w:rFonts w:ascii="Helvetica" w:hAnsi="Helvetica" w:cs="Helvetica"/>
                <w:color w:val="333333"/>
                <w:sz w:val="21"/>
                <w:szCs w:val="21"/>
              </w:rPr>
              <w:br/>
            </w:r>
          </w:p>
        </w:tc>
      </w:tr>
    </w:tbl>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35. Why? </w:t>
      </w:r>
    </w:p>
    <w:p w:rsidR="003477A5" w:rsidRDefault="003477A5">
      <w:pPr>
        <w:rPr>
          <w:rFonts w:ascii="Helvetica" w:hAnsi="Helvetica" w:cs="Helvetica"/>
          <w:color w:val="333333"/>
          <w:sz w:val="21"/>
          <w:szCs w:val="21"/>
        </w:rPr>
      </w:pP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A67CBF">
            <w:pPr>
              <w:spacing w:after="240"/>
              <w:rPr>
                <w:rFonts w:ascii="Helvetica" w:hAnsi="Helvetica" w:cs="Helvetica"/>
                <w:color w:val="333333"/>
                <w:sz w:val="21"/>
                <w:szCs w:val="21"/>
              </w:rPr>
            </w:pPr>
            <w:r>
              <w:rPr>
                <w:rFonts w:ascii="Helvetica" w:hAnsi="Helvetica" w:cs="Helvetica"/>
                <w:color w:val="333333"/>
                <w:sz w:val="21"/>
                <w:szCs w:val="21"/>
              </w:rPr>
              <w:t> See above, 34</w:t>
            </w:r>
            <w:r>
              <w:rPr>
                <w:rFonts w:ascii="Helvetica" w:hAnsi="Helvetica" w:cs="Helvetica"/>
                <w:color w:val="333333"/>
                <w:sz w:val="21"/>
                <w:szCs w:val="21"/>
              </w:rPr>
              <w:br/>
            </w:r>
          </w:p>
        </w:tc>
      </w:tr>
    </w:tbl>
    <w:p w:rsidR="003477A5" w:rsidRDefault="00A67CBF">
      <w:pPr>
        <w:rPr>
          <w:rFonts w:ascii="Helvetica" w:hAnsi="Helvetica" w:cs="Helvetica"/>
          <w:b/>
          <w:bCs/>
          <w:color w:val="333333"/>
          <w:sz w:val="36"/>
          <w:szCs w:val="36"/>
        </w:rPr>
      </w:pPr>
      <w:r>
        <w:rPr>
          <w:rFonts w:ascii="Helvetica" w:hAnsi="Helvetica" w:cs="Helvetica"/>
          <w:b/>
          <w:bCs/>
          <w:color w:val="333333"/>
          <w:sz w:val="36"/>
          <w:szCs w:val="36"/>
        </w:rPr>
        <w:t xml:space="preserve">13. Demand for seasonal services </w:t>
      </w:r>
    </w:p>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rPr>
          <w:rFonts w:ascii="Helvetica" w:hAnsi="Helvetica" w:cs="Helvetica"/>
          <w:bCs/>
          <w:color w:val="333333"/>
          <w:sz w:val="21"/>
          <w:szCs w:val="21"/>
        </w:rPr>
      </w:pPr>
      <w:r>
        <w:rPr>
          <w:rFonts w:ascii="Helvetica" w:hAnsi="Helvetica" w:cs="Helvetica"/>
          <w:bCs/>
          <w:color w:val="333333"/>
          <w:sz w:val="21"/>
          <w:szCs w:val="21"/>
        </w:rPr>
        <w:t>Many routes served by the Great Western franchise experience substantial fluctuations in demand, e.g. during summer and other holiday periods, or associated with Christmas shopping, such as Bath or Bristol Christmas markets.</w:t>
      </w:r>
      <w:r>
        <w:rPr>
          <w:rFonts w:ascii="Helvetica" w:hAnsi="Helvetica" w:cs="Helvetica"/>
          <w:bCs/>
          <w:color w:val="333333"/>
          <w:sz w:val="21"/>
          <w:szCs w:val="21"/>
        </w:rPr>
        <w:br/>
      </w:r>
      <w:r>
        <w:rPr>
          <w:rFonts w:ascii="Helvetica" w:hAnsi="Helvetica" w:cs="Helvetica"/>
          <w:bCs/>
          <w:color w:val="333333"/>
          <w:sz w:val="21"/>
          <w:szCs w:val="21"/>
        </w:rPr>
        <w:br/>
        <w:t>For predictable, seasonal variations in travel demand, we anticipate that the train service specification for the next franchise will include some specific requirements, e.g. for changes to service patterns to reflect summer patterns of demand, continuing the current practice, unless there is a good reason to do anything differently.</w:t>
      </w:r>
      <w:r>
        <w:rPr>
          <w:rFonts w:ascii="Helvetica" w:hAnsi="Helvetica" w:cs="Helvetica"/>
          <w:bCs/>
          <w:color w:val="333333"/>
          <w:sz w:val="21"/>
          <w:szCs w:val="21"/>
        </w:rPr>
        <w:br/>
      </w:r>
      <w:r>
        <w:rPr>
          <w:rFonts w:ascii="Helvetica" w:hAnsi="Helvetica" w:cs="Helvetica"/>
          <w:bCs/>
          <w:color w:val="333333"/>
          <w:sz w:val="21"/>
          <w:szCs w:val="21"/>
        </w:rPr>
        <w:br/>
        <w:t>For special events, it is not feasible to include specific requirements about every event that might take place across such a wide franchise geography, but we will strengthen the requirement for the next franchisee to have a clear plan for how it will meet the needs of passengers travelling to and from special events, working with event organisers, the police and other local partners.</w:t>
      </w:r>
    </w:p>
    <w:p w:rsidR="003477A5" w:rsidRDefault="003477A5">
      <w:pPr>
        <w:rPr>
          <w:rFonts w:ascii="Helvetica" w:hAnsi="Helvetica" w:cs="Helvetica"/>
          <w:color w:val="333333"/>
          <w:sz w:val="21"/>
          <w:szCs w:val="21"/>
        </w:rPr>
      </w:pP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36. What additional seasonal train services do you consider to be particularly important to retain or improve in the next franchise? </w:t>
      </w:r>
    </w:p>
    <w:p w:rsidR="003477A5" w:rsidRDefault="003477A5">
      <w:pPr>
        <w:rPr>
          <w:rFonts w:ascii="Helvetica" w:hAnsi="Helvetica" w:cs="Helvetica"/>
          <w:color w:val="333333"/>
          <w:sz w:val="21"/>
          <w:szCs w:val="21"/>
        </w:rPr>
      </w:pP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3477A5">
            <w:pPr>
              <w:spacing w:after="240"/>
              <w:rPr>
                <w:rFonts w:ascii="Helvetica" w:hAnsi="Helvetica" w:cs="Helvetica"/>
                <w:color w:val="333333"/>
                <w:sz w:val="21"/>
                <w:szCs w:val="21"/>
              </w:rPr>
            </w:pPr>
          </w:p>
          <w:p w:rsidR="003477A5" w:rsidRDefault="00A67CBF">
            <w:pPr>
              <w:spacing w:after="240"/>
            </w:pPr>
            <w:r>
              <w:rPr>
                <w:rFonts w:ascii="Helvetica" w:hAnsi="Helvetica" w:cs="Helvetica"/>
                <w:color w:val="333333"/>
                <w:sz w:val="21"/>
                <w:szCs w:val="21"/>
              </w:rPr>
              <w:t xml:space="preserve">There is a need to improve the way in which seasonal and special events’ needs are managed across the franchise. In addition to Glastonbury and the Cheltenham Festival, already mentioned, we suggest that future franchisees should be encouraged to develop a special traffic capacity. The South West provides venues for a significant number of varied major events throughout the year.  We suspect that </w:t>
            </w:r>
            <w:r>
              <w:rPr>
                <w:rFonts w:ascii="Helvetica" w:hAnsi="Helvetica" w:cs="Helvetica"/>
                <w:b/>
                <w:color w:val="333333"/>
                <w:sz w:val="21"/>
                <w:szCs w:val="21"/>
              </w:rPr>
              <w:t>careful mapping of all the sports, music, cultural and racing events would reveal significant year-round potential</w:t>
            </w:r>
            <w:r>
              <w:rPr>
                <w:rFonts w:ascii="Helvetica" w:hAnsi="Helvetica" w:cs="Helvetica"/>
                <w:color w:val="333333"/>
                <w:sz w:val="21"/>
                <w:szCs w:val="21"/>
              </w:rPr>
              <w:t>. During 2017 TravelWatch SouthWest received representations from a number of people who felt that the industry has failed to identify opportunities or to make appropriate provision, missing the opportunity to win new users to rail in the process, including WOMAD (Chippenham) and Boardmasters (Newquay).  In both cases there were worrying reports of adolescents finding themselves stranded, unable to get on the regular service train.</w:t>
            </w:r>
          </w:p>
          <w:p w:rsidR="003477A5" w:rsidRDefault="00A67CBF">
            <w:pPr>
              <w:spacing w:after="240"/>
              <w:rPr>
                <w:rFonts w:ascii="Helvetica" w:hAnsi="Helvetica" w:cs="Helvetica"/>
                <w:color w:val="333333"/>
                <w:sz w:val="21"/>
                <w:szCs w:val="21"/>
              </w:rPr>
            </w:pPr>
            <w:r>
              <w:rPr>
                <w:rFonts w:ascii="Helvetica" w:hAnsi="Helvetica" w:cs="Helvetica"/>
                <w:color w:val="333333"/>
                <w:sz w:val="21"/>
                <w:szCs w:val="21"/>
              </w:rPr>
              <w:br/>
            </w:r>
          </w:p>
        </w:tc>
      </w:tr>
    </w:tbl>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37. Why? </w:t>
      </w:r>
    </w:p>
    <w:p w:rsidR="003477A5" w:rsidRDefault="003477A5">
      <w:pPr>
        <w:rPr>
          <w:rFonts w:ascii="Helvetica" w:hAnsi="Helvetica" w:cs="Helvetica"/>
          <w:color w:val="333333"/>
          <w:sz w:val="21"/>
          <w:szCs w:val="21"/>
        </w:rPr>
      </w:pP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A67CBF">
            <w:pPr>
              <w:spacing w:after="240"/>
              <w:rPr>
                <w:rFonts w:ascii="Helvetica" w:hAnsi="Helvetica" w:cs="Helvetica"/>
                <w:color w:val="333333"/>
                <w:sz w:val="21"/>
                <w:szCs w:val="21"/>
              </w:rPr>
            </w:pPr>
            <w:r>
              <w:rPr>
                <w:rFonts w:ascii="Helvetica" w:hAnsi="Helvetica" w:cs="Helvetica"/>
                <w:color w:val="333333"/>
                <w:sz w:val="21"/>
                <w:szCs w:val="21"/>
              </w:rPr>
              <w:t> See above, 36.</w:t>
            </w:r>
            <w:r>
              <w:rPr>
                <w:rFonts w:ascii="Helvetica" w:hAnsi="Helvetica" w:cs="Helvetica"/>
                <w:color w:val="333333"/>
                <w:sz w:val="21"/>
                <w:szCs w:val="21"/>
              </w:rPr>
              <w:br/>
            </w:r>
          </w:p>
        </w:tc>
      </w:tr>
    </w:tbl>
    <w:p w:rsidR="003477A5" w:rsidRDefault="00A67CBF">
      <w:pPr>
        <w:rPr>
          <w:rFonts w:ascii="Helvetica" w:hAnsi="Helvetica" w:cs="Helvetica"/>
          <w:b/>
          <w:bCs/>
          <w:color w:val="333333"/>
          <w:sz w:val="36"/>
          <w:szCs w:val="36"/>
        </w:rPr>
      </w:pPr>
      <w:r>
        <w:rPr>
          <w:rFonts w:ascii="Helvetica" w:hAnsi="Helvetica" w:cs="Helvetica"/>
          <w:b/>
          <w:bCs/>
          <w:color w:val="333333"/>
          <w:sz w:val="36"/>
          <w:szCs w:val="36"/>
        </w:rPr>
        <w:t xml:space="preserve">14. Other train service issues </w:t>
      </w:r>
    </w:p>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38. What other train service enhancements do you believe should be considered for inclusion in the next franchise? </w:t>
      </w:r>
    </w:p>
    <w:p w:rsidR="003477A5" w:rsidRDefault="003477A5">
      <w:pPr>
        <w:rPr>
          <w:rFonts w:ascii="Helvetica" w:hAnsi="Helvetica" w:cs="Helvetica"/>
          <w:color w:val="333333"/>
          <w:sz w:val="21"/>
          <w:szCs w:val="21"/>
        </w:rPr>
      </w:pP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A67CBF">
            <w:pPr>
              <w:spacing w:after="240"/>
              <w:rPr>
                <w:rFonts w:ascii="Helvetica" w:hAnsi="Helvetica" w:cs="Helvetica"/>
                <w:color w:val="333333"/>
                <w:sz w:val="21"/>
                <w:szCs w:val="21"/>
              </w:rPr>
            </w:pPr>
            <w:r>
              <w:rPr>
                <w:rFonts w:ascii="Helvetica" w:hAnsi="Helvetica" w:cs="Helvetica"/>
                <w:color w:val="333333"/>
                <w:sz w:val="21"/>
                <w:szCs w:val="21"/>
              </w:rPr>
              <w:t> </w:t>
            </w:r>
            <w:r>
              <w:rPr>
                <w:rFonts w:ascii="Helvetica" w:hAnsi="Helvetica" w:cs="Helvetica"/>
                <w:color w:val="333333"/>
                <w:sz w:val="21"/>
                <w:szCs w:val="21"/>
              </w:rPr>
              <w:br/>
            </w:r>
            <w:r>
              <w:rPr>
                <w:rFonts w:ascii="Helvetica" w:hAnsi="Helvetica" w:cs="Helvetica"/>
                <w:color w:val="333333"/>
                <w:sz w:val="21"/>
                <w:szCs w:val="21"/>
              </w:rPr>
              <w:br/>
            </w:r>
            <w:r>
              <w:rPr>
                <w:rFonts w:ascii="Helvetica" w:hAnsi="Helvetica" w:cs="Helvetica"/>
                <w:color w:val="333333"/>
                <w:sz w:val="21"/>
                <w:szCs w:val="21"/>
              </w:rPr>
              <w:br/>
            </w:r>
          </w:p>
        </w:tc>
      </w:tr>
    </w:tbl>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39. Why? </w:t>
      </w:r>
    </w:p>
    <w:p w:rsidR="003477A5" w:rsidRDefault="003477A5">
      <w:pPr>
        <w:rPr>
          <w:rFonts w:ascii="Helvetica" w:hAnsi="Helvetica" w:cs="Helvetica"/>
          <w:color w:val="333333"/>
          <w:sz w:val="21"/>
          <w:szCs w:val="21"/>
        </w:rPr>
      </w:pP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A67CBF">
            <w:pPr>
              <w:spacing w:after="240"/>
              <w:rPr>
                <w:rFonts w:ascii="Helvetica" w:hAnsi="Helvetica" w:cs="Helvetica"/>
                <w:color w:val="333333"/>
                <w:sz w:val="21"/>
                <w:szCs w:val="21"/>
              </w:rPr>
            </w:pPr>
            <w:r>
              <w:rPr>
                <w:rFonts w:ascii="Helvetica" w:hAnsi="Helvetica" w:cs="Helvetica"/>
                <w:color w:val="333333"/>
                <w:sz w:val="21"/>
                <w:szCs w:val="21"/>
              </w:rPr>
              <w:t> </w:t>
            </w:r>
            <w:r>
              <w:rPr>
                <w:rFonts w:ascii="Helvetica" w:hAnsi="Helvetica" w:cs="Helvetica"/>
                <w:color w:val="333333"/>
                <w:sz w:val="21"/>
                <w:szCs w:val="21"/>
              </w:rPr>
              <w:br/>
            </w:r>
            <w:r>
              <w:rPr>
                <w:rFonts w:ascii="Helvetica" w:hAnsi="Helvetica" w:cs="Helvetica"/>
                <w:color w:val="333333"/>
                <w:sz w:val="21"/>
                <w:szCs w:val="21"/>
              </w:rPr>
              <w:br/>
            </w:r>
            <w:r>
              <w:rPr>
                <w:rFonts w:ascii="Helvetica" w:hAnsi="Helvetica" w:cs="Helvetica"/>
                <w:color w:val="333333"/>
                <w:sz w:val="21"/>
                <w:szCs w:val="21"/>
              </w:rPr>
              <w:br/>
            </w:r>
          </w:p>
        </w:tc>
      </w:tr>
    </w:tbl>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40. If you are a freight operator or represent the freight industry, please set out your expectations of likely future demand for freight capacity across the routes served by the franchise. </w:t>
      </w:r>
    </w:p>
    <w:p w:rsidR="003477A5" w:rsidRDefault="003477A5">
      <w:pPr>
        <w:rPr>
          <w:rFonts w:ascii="Helvetica" w:hAnsi="Helvetica" w:cs="Helvetica"/>
          <w:color w:val="333333"/>
          <w:sz w:val="21"/>
          <w:szCs w:val="21"/>
        </w:rPr>
      </w:pP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A67CBF">
            <w:pPr>
              <w:spacing w:after="240"/>
              <w:rPr>
                <w:rFonts w:ascii="Helvetica" w:hAnsi="Helvetica" w:cs="Helvetica"/>
                <w:color w:val="333333"/>
                <w:sz w:val="21"/>
                <w:szCs w:val="21"/>
              </w:rPr>
            </w:pPr>
            <w:r>
              <w:rPr>
                <w:rFonts w:ascii="Helvetica" w:hAnsi="Helvetica" w:cs="Helvetica"/>
                <w:color w:val="333333"/>
                <w:sz w:val="21"/>
                <w:szCs w:val="21"/>
              </w:rPr>
              <w:t> n.a.</w:t>
            </w:r>
            <w:r>
              <w:rPr>
                <w:rFonts w:ascii="Helvetica" w:hAnsi="Helvetica" w:cs="Helvetica"/>
                <w:color w:val="333333"/>
                <w:sz w:val="21"/>
                <w:szCs w:val="21"/>
              </w:rPr>
              <w:br/>
            </w:r>
            <w:r>
              <w:rPr>
                <w:rFonts w:ascii="Helvetica" w:hAnsi="Helvetica" w:cs="Helvetica"/>
                <w:color w:val="333333"/>
                <w:sz w:val="21"/>
                <w:szCs w:val="21"/>
              </w:rPr>
              <w:br/>
            </w:r>
            <w:r>
              <w:rPr>
                <w:rFonts w:ascii="Helvetica" w:hAnsi="Helvetica" w:cs="Helvetica"/>
                <w:color w:val="333333"/>
                <w:sz w:val="21"/>
                <w:szCs w:val="21"/>
              </w:rPr>
              <w:br/>
            </w:r>
          </w:p>
        </w:tc>
      </w:tr>
    </w:tbl>
    <w:p w:rsidR="003477A5" w:rsidRDefault="003477A5">
      <w:pPr>
        <w:rPr>
          <w:rFonts w:ascii="Helvetica" w:hAnsi="Helvetica" w:cs="Helvetica"/>
          <w:b/>
          <w:bCs/>
          <w:color w:val="333333"/>
          <w:sz w:val="36"/>
          <w:szCs w:val="36"/>
        </w:rPr>
      </w:pPr>
    </w:p>
    <w:p w:rsidR="003477A5" w:rsidRDefault="00A67CBF">
      <w:pPr>
        <w:rPr>
          <w:rFonts w:ascii="Helvetica" w:hAnsi="Helvetica" w:cs="Helvetica"/>
          <w:b/>
          <w:bCs/>
          <w:color w:val="333333"/>
          <w:sz w:val="36"/>
          <w:szCs w:val="36"/>
        </w:rPr>
      </w:pPr>
      <w:r>
        <w:rPr>
          <w:rFonts w:ascii="Helvetica" w:hAnsi="Helvetica" w:cs="Helvetica"/>
          <w:b/>
          <w:bCs/>
          <w:color w:val="333333"/>
          <w:sz w:val="36"/>
          <w:szCs w:val="36"/>
        </w:rPr>
        <w:t xml:space="preserve">15. Rolling stock </w:t>
      </w:r>
    </w:p>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rPr>
          <w:rFonts w:ascii="Helvetica" w:hAnsi="Helvetica" w:cs="Helvetica"/>
          <w:bCs/>
          <w:color w:val="333333"/>
          <w:sz w:val="21"/>
          <w:szCs w:val="21"/>
        </w:rPr>
      </w:pPr>
      <w:r>
        <w:rPr>
          <w:rFonts w:ascii="Helvetica" w:hAnsi="Helvetica" w:cs="Helvetica"/>
          <w:bCs/>
          <w:color w:val="333333"/>
          <w:sz w:val="21"/>
          <w:szCs w:val="21"/>
        </w:rPr>
        <w:t>By the end of the current franchise, a substantial amount of new rolling stock will have been introduced and some of the oldest trains currently operating on the franchise will have been replaced by more modern ones.  Nevertheless, some of the trains which will remain at the end of the franchise were introduced in the late 1980s and early 1990s, and will therefore be approaching the end of their intended design life during the 2020s.  A key issue for the franchise, therefore, will be to ensure that all rolling stock on the franchise meets modern standards of design, comfort and on-train facilities.  For the older fleets remaining on the franchise, we envisage this requiring significant modernisation if they are to continue operating long into the 2020s.</w:t>
      </w:r>
      <w:r>
        <w:rPr>
          <w:rFonts w:ascii="Helvetica" w:hAnsi="Helvetica" w:cs="Helvetica"/>
          <w:bCs/>
          <w:color w:val="333333"/>
          <w:sz w:val="21"/>
          <w:szCs w:val="21"/>
        </w:rPr>
        <w:br/>
      </w:r>
      <w:r>
        <w:rPr>
          <w:rFonts w:ascii="Helvetica" w:hAnsi="Helvetica" w:cs="Helvetica"/>
          <w:bCs/>
          <w:color w:val="333333"/>
          <w:sz w:val="21"/>
          <w:szCs w:val="21"/>
        </w:rPr>
        <w:br/>
        <w:t>Passenger expectations regarding the quality of rolling stock and the facilities provided are also rising, eg the provision of reliable free wi-fi and mobile connectivity has been highlighted by a number of stakeholders.</w:t>
      </w:r>
      <w:r>
        <w:rPr>
          <w:rFonts w:ascii="Helvetica" w:hAnsi="Helvetica" w:cs="Helvetica"/>
          <w:bCs/>
          <w:color w:val="333333"/>
          <w:sz w:val="21"/>
          <w:szCs w:val="21"/>
        </w:rPr>
        <w:br/>
      </w:r>
      <w:r>
        <w:rPr>
          <w:rFonts w:ascii="Helvetica" w:hAnsi="Helvetica" w:cs="Helvetica"/>
          <w:bCs/>
          <w:color w:val="333333"/>
          <w:sz w:val="21"/>
          <w:szCs w:val="21"/>
        </w:rPr>
        <w:br/>
        <w:t>There are also differing views on the provision of First Class accommodation.  In particular, there is a trade-off between providing First Class accommodation for those who want it, and providing sufficient seats and space for other passengers.  Some stakeholders have also suggested that First Class accommodation could be appropriate for some middle-distance services which do not currently provide this as a way of improving passenger facilities.</w:t>
      </w:r>
      <w:r>
        <w:rPr>
          <w:rFonts w:ascii="Helvetica" w:hAnsi="Helvetica" w:cs="Helvetica"/>
          <w:bCs/>
          <w:color w:val="333333"/>
          <w:sz w:val="21"/>
          <w:szCs w:val="21"/>
        </w:rPr>
        <w:br/>
      </w:r>
      <w:r>
        <w:rPr>
          <w:rFonts w:ascii="Helvetica" w:hAnsi="Helvetica" w:cs="Helvetica"/>
          <w:bCs/>
          <w:color w:val="333333"/>
          <w:sz w:val="21"/>
          <w:szCs w:val="21"/>
        </w:rPr>
        <w:br/>
        <w:t>We propose requiring the franchisee to identify, assess and advise on the options for the long-term future of the older diesel fleets that will remain in operation on the franchise in 2020, taking account of passengers’ expectations of a high-quality, modern on-train passenger environment and facilities and projected increases in demand. We will also seek significant improvements in mobile connectivity across the franchise, including the introduction of minimum service levels for train-to-internet connectivity, and consider how these and improvements to CCTV can contribute to helping passengers feel safer.</w:t>
      </w:r>
      <w:r>
        <w:rPr>
          <w:rFonts w:ascii="Helvetica" w:hAnsi="Helvetica" w:cs="Helvetica"/>
          <w:bCs/>
          <w:color w:val="333333"/>
          <w:sz w:val="21"/>
          <w:szCs w:val="21"/>
        </w:rPr>
        <w:br/>
        <w:t> </w:t>
      </w:r>
    </w:p>
    <w:p w:rsidR="003477A5" w:rsidRDefault="003477A5">
      <w:pPr>
        <w:rPr>
          <w:rFonts w:ascii="Helvetica" w:hAnsi="Helvetica" w:cs="Helvetica"/>
          <w:color w:val="333333"/>
          <w:sz w:val="21"/>
          <w:szCs w:val="21"/>
        </w:rPr>
      </w:pP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41. What do you think are the main priorities that we should seek to address in relation to rolling stock? </w:t>
      </w:r>
    </w:p>
    <w:p w:rsidR="003477A5" w:rsidRDefault="003477A5">
      <w:pPr>
        <w:rPr>
          <w:rFonts w:ascii="Helvetica" w:hAnsi="Helvetica" w:cs="Helvetica"/>
          <w:color w:val="333333"/>
          <w:sz w:val="21"/>
          <w:szCs w:val="21"/>
        </w:rPr>
      </w:pP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Pr="00551192" w:rsidRDefault="00551192">
            <w:pPr>
              <w:pStyle w:val="ListParagraph"/>
              <w:numPr>
                <w:ilvl w:val="0"/>
                <w:numId w:val="22"/>
              </w:numPr>
              <w:suppressAutoHyphens w:val="0"/>
              <w:spacing w:after="160"/>
              <w:textAlignment w:val="auto"/>
            </w:pPr>
            <w:r>
              <w:rPr>
                <w:rFonts w:ascii="Helvetica" w:hAnsi="Helvetica" w:cs="Helvetica"/>
                <w:color w:val="333333"/>
                <w:sz w:val="21"/>
                <w:szCs w:val="21"/>
              </w:rPr>
              <w:t xml:space="preserve">There should be enough rolling stock to comfortably meet demand. </w:t>
            </w:r>
            <w:r w:rsidR="00A67CBF">
              <w:rPr>
                <w:rFonts w:ascii="Helvetica" w:hAnsi="Helvetica" w:cs="Helvetica"/>
                <w:color w:val="333333"/>
                <w:sz w:val="21"/>
                <w:szCs w:val="21"/>
              </w:rPr>
              <w:t xml:space="preserve">To meet the projected capacity gap, the Government </w:t>
            </w:r>
            <w:r w:rsidR="00A67CBF">
              <w:rPr>
                <w:rFonts w:ascii="Helvetica" w:hAnsi="Helvetica" w:cs="Helvetica"/>
                <w:b/>
                <w:color w:val="333333"/>
                <w:sz w:val="21"/>
                <w:szCs w:val="21"/>
              </w:rPr>
              <w:t>should authorise procurement of additional new rolling stock</w:t>
            </w:r>
            <w:r w:rsidR="00A67CBF">
              <w:rPr>
                <w:rFonts w:ascii="Helvetica" w:hAnsi="Helvetica" w:cs="Helvetica"/>
                <w:color w:val="333333"/>
                <w:sz w:val="21"/>
                <w:szCs w:val="21"/>
              </w:rPr>
              <w:t>.  This should be fit for purpose – in other words it should be equipped to meet the needs of the various markets in the franchise area, with emphasis placed on high reliability, reduced loading times with ease of access and egress.</w:t>
            </w:r>
          </w:p>
          <w:p w:rsidR="00551192" w:rsidRDefault="00551192" w:rsidP="00551192">
            <w:pPr>
              <w:pStyle w:val="ListParagraph"/>
              <w:numPr>
                <w:ilvl w:val="0"/>
                <w:numId w:val="22"/>
              </w:numPr>
              <w:suppressAutoHyphens w:val="0"/>
              <w:spacing w:after="160"/>
              <w:textAlignment w:val="auto"/>
            </w:pPr>
            <w:r>
              <w:rPr>
                <w:rFonts w:ascii="Helvetica" w:hAnsi="Helvetica" w:cs="Helvetica"/>
                <w:color w:val="333333"/>
                <w:sz w:val="21"/>
                <w:szCs w:val="21"/>
              </w:rPr>
              <w:t xml:space="preserve">Whilst recognising the circumstances that caused the Government to decide that the Great Western Electrification Programme should be paused prior to its completion as originally planned, we consider that the DfT should commit publicly to </w:t>
            </w:r>
            <w:r>
              <w:rPr>
                <w:rFonts w:ascii="Helvetica" w:hAnsi="Helvetica" w:cs="Helvetica"/>
                <w:b/>
                <w:color w:val="333333"/>
                <w:sz w:val="21"/>
                <w:szCs w:val="21"/>
              </w:rPr>
              <w:t>the electrification of the remaining main lines before the diesel engines on the new bi-mode trains are due for replacement</w:t>
            </w:r>
            <w:r>
              <w:rPr>
                <w:rFonts w:ascii="Helvetica" w:hAnsi="Helvetica" w:cs="Helvetica"/>
                <w:color w:val="333333"/>
                <w:sz w:val="21"/>
                <w:szCs w:val="21"/>
              </w:rPr>
              <w:t>.</w:t>
            </w:r>
          </w:p>
          <w:p w:rsidR="003477A5" w:rsidRDefault="00A67CBF">
            <w:pPr>
              <w:pStyle w:val="ListParagraph"/>
              <w:numPr>
                <w:ilvl w:val="0"/>
                <w:numId w:val="22"/>
              </w:numPr>
              <w:suppressAutoHyphens w:val="0"/>
              <w:spacing w:after="160"/>
              <w:textAlignment w:val="auto"/>
            </w:pPr>
            <w:r>
              <w:rPr>
                <w:rFonts w:ascii="Helvetica" w:hAnsi="Helvetica" w:cs="Helvetica"/>
                <w:color w:val="333333"/>
                <w:sz w:val="21"/>
                <w:szCs w:val="21"/>
              </w:rPr>
              <w:t>Academic research (</w:t>
            </w:r>
            <w:r>
              <w:rPr>
                <w:rFonts w:ascii="Helvetica" w:hAnsi="Helvetica" w:cs="Helvetica"/>
                <w:i/>
                <w:color w:val="333333"/>
                <w:sz w:val="21"/>
                <w:szCs w:val="21"/>
              </w:rPr>
              <w:t xml:space="preserve">cf </w:t>
            </w:r>
            <w:r>
              <w:rPr>
                <w:rFonts w:ascii="Helvetica" w:hAnsi="Helvetica" w:cs="Helvetica"/>
                <w:color w:val="333333"/>
                <w:sz w:val="21"/>
                <w:szCs w:val="21"/>
              </w:rPr>
              <w:t xml:space="preserve">Wheat &amp; Smith (2015)) suggests that franchise operation </w:t>
            </w:r>
            <w:r>
              <w:rPr>
                <w:rFonts w:ascii="Helvetica" w:hAnsi="Helvetica" w:cs="Helvetica"/>
                <w:b/>
                <w:color w:val="333333"/>
                <w:sz w:val="21"/>
                <w:szCs w:val="21"/>
              </w:rPr>
              <w:t>costs may be inflated by the heterogeneity of current rolling stock</w:t>
            </w:r>
            <w:r>
              <w:rPr>
                <w:rFonts w:ascii="Helvetica" w:hAnsi="Helvetica" w:cs="Helvetica"/>
                <w:color w:val="333333"/>
                <w:sz w:val="21"/>
                <w:szCs w:val="21"/>
              </w:rPr>
              <w:t xml:space="preserve">, for example in the variances in the maximum line speed of different types of equipment.  There is a case both on capacity utilisation and on cost grounds for ensuring that all rolling-stock using a common route is capable of achieving the same maximum line speed.  </w:t>
            </w:r>
          </w:p>
          <w:p w:rsidR="003477A5" w:rsidRDefault="00A67CBF">
            <w:pPr>
              <w:pStyle w:val="ListParagraph"/>
              <w:numPr>
                <w:ilvl w:val="0"/>
                <w:numId w:val="22"/>
              </w:numPr>
              <w:suppressAutoHyphens w:val="0"/>
              <w:spacing w:after="160"/>
              <w:textAlignment w:val="auto"/>
            </w:pPr>
            <w:r>
              <w:rPr>
                <w:rFonts w:ascii="Helvetica" w:hAnsi="Helvetica" w:cs="Helvetica"/>
                <w:color w:val="333333"/>
                <w:sz w:val="21"/>
                <w:szCs w:val="21"/>
              </w:rPr>
              <w:t xml:space="preserve">Provision </w:t>
            </w:r>
            <w:r>
              <w:rPr>
                <w:rFonts w:ascii="Helvetica" w:hAnsi="Helvetica" w:cs="Helvetica"/>
                <w:b/>
                <w:color w:val="333333"/>
                <w:sz w:val="21"/>
                <w:szCs w:val="21"/>
              </w:rPr>
              <w:t>of controlled emission toilets</w:t>
            </w:r>
            <w:r>
              <w:rPr>
                <w:rFonts w:ascii="Helvetica" w:hAnsi="Helvetica" w:cs="Helvetica"/>
                <w:color w:val="333333"/>
                <w:sz w:val="21"/>
                <w:szCs w:val="21"/>
              </w:rPr>
              <w:t xml:space="preserve"> on all trains.</w:t>
            </w:r>
          </w:p>
          <w:p w:rsidR="003477A5" w:rsidRDefault="00A67CBF">
            <w:pPr>
              <w:pStyle w:val="ListParagraph"/>
              <w:numPr>
                <w:ilvl w:val="0"/>
                <w:numId w:val="22"/>
              </w:numPr>
              <w:suppressAutoHyphens w:val="0"/>
              <w:spacing w:after="160"/>
              <w:textAlignment w:val="auto"/>
            </w:pPr>
            <w:r>
              <w:rPr>
                <w:rFonts w:ascii="Helvetica" w:hAnsi="Helvetica" w:cs="Helvetica"/>
                <w:color w:val="333333"/>
                <w:sz w:val="21"/>
                <w:szCs w:val="21"/>
              </w:rPr>
              <w:t xml:space="preserve">Many journeys in the franchise area are relatively long: Newton Abbott is typically half way to London on a through service from Penzance.  </w:t>
            </w:r>
            <w:r>
              <w:rPr>
                <w:rFonts w:ascii="Helvetica" w:hAnsi="Helvetica" w:cs="Helvetica"/>
                <w:b/>
                <w:color w:val="333333"/>
                <w:sz w:val="21"/>
                <w:szCs w:val="21"/>
              </w:rPr>
              <w:t>Rolling stock must be fit for purpose</w:t>
            </w:r>
            <w:r>
              <w:rPr>
                <w:rFonts w:ascii="Helvetica" w:hAnsi="Helvetica" w:cs="Helvetica"/>
                <w:color w:val="333333"/>
                <w:sz w:val="21"/>
                <w:szCs w:val="21"/>
              </w:rPr>
              <w:t xml:space="preserve">.  Five hours in a Class 150 for a trip from Bristol to Penzance is not an acceptable experience. </w:t>
            </w:r>
            <w:r>
              <w:rPr>
                <w:rFonts w:ascii="Helvetica" w:hAnsi="Helvetica" w:cs="Helvetica"/>
                <w:color w:val="333333"/>
                <w:sz w:val="21"/>
                <w:szCs w:val="21"/>
              </w:rPr>
              <w:br/>
            </w:r>
          </w:p>
        </w:tc>
      </w:tr>
    </w:tbl>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42. Are there any routes which do not currently have First Class accommodation where you think it should be provided? </w:t>
      </w:r>
    </w:p>
    <w:p w:rsidR="003477A5" w:rsidRDefault="003477A5">
      <w:pPr>
        <w:rPr>
          <w:rFonts w:ascii="Helvetica" w:hAnsi="Helvetica" w:cs="Helvetica"/>
          <w:color w:val="333333"/>
          <w:sz w:val="21"/>
          <w:szCs w:val="21"/>
        </w:rPr>
      </w:pP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3477A5">
            <w:pPr>
              <w:spacing w:after="240"/>
              <w:rPr>
                <w:rFonts w:ascii="Helvetica" w:hAnsi="Helvetica" w:cs="Helvetica"/>
                <w:color w:val="333333"/>
                <w:sz w:val="21"/>
                <w:szCs w:val="21"/>
              </w:rPr>
            </w:pPr>
          </w:p>
          <w:p w:rsidR="003477A5" w:rsidRDefault="00A67CBF">
            <w:pPr>
              <w:spacing w:after="240"/>
            </w:pPr>
            <w:r>
              <w:rPr>
                <w:rFonts w:ascii="Helvetica" w:hAnsi="Helvetica" w:cs="Helvetica"/>
                <w:color w:val="333333"/>
                <w:sz w:val="21"/>
                <w:szCs w:val="21"/>
              </w:rPr>
              <w:t xml:space="preserve">No.  </w:t>
            </w:r>
            <w:r>
              <w:rPr>
                <w:rFonts w:ascii="Helvetica" w:hAnsi="Helvetica" w:cs="Helvetica"/>
                <w:b/>
                <w:color w:val="333333"/>
                <w:sz w:val="21"/>
                <w:szCs w:val="21"/>
              </w:rPr>
              <w:t>All accommodation should be of a high standard and upwardly compatible with consumer trends over the lifetime of the vehicles</w:t>
            </w:r>
            <w:r>
              <w:rPr>
                <w:rFonts w:ascii="Helvetica" w:hAnsi="Helvetica" w:cs="Helvetica"/>
                <w:color w:val="333333"/>
                <w:sz w:val="21"/>
                <w:szCs w:val="21"/>
              </w:rPr>
              <w:t xml:space="preserve"> (e.g. telematics capacity both for information and communication, washroom facilities, passenger luggage and equipment capacity, alignment of windows and seats, etc.).</w:t>
            </w:r>
            <w:r>
              <w:rPr>
                <w:rFonts w:ascii="Helvetica" w:hAnsi="Helvetica" w:cs="Helvetica"/>
                <w:color w:val="333333"/>
                <w:sz w:val="21"/>
                <w:szCs w:val="21"/>
              </w:rPr>
              <w:br/>
            </w:r>
          </w:p>
        </w:tc>
      </w:tr>
    </w:tbl>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43. Should the franchisee provide specific services and facilities for: </w:t>
      </w:r>
    </w:p>
    <w:p w:rsidR="003477A5" w:rsidRDefault="003477A5">
      <w:pPr>
        <w:rPr>
          <w:rFonts w:ascii="Helvetica" w:hAnsi="Helvetica" w:cs="Helvetica"/>
          <w:color w:val="333333"/>
          <w:sz w:val="21"/>
          <w:szCs w:val="21"/>
        </w:rPr>
      </w:pPr>
    </w:p>
    <w:tbl>
      <w:tblPr>
        <w:tblW w:w="9026" w:type="dxa"/>
        <w:tblCellMar>
          <w:left w:w="10" w:type="dxa"/>
          <w:right w:w="10" w:type="dxa"/>
        </w:tblCellMar>
        <w:tblLook w:val="0000" w:firstRow="0" w:lastRow="0" w:firstColumn="0" w:lastColumn="0" w:noHBand="0" w:noVBand="0"/>
      </w:tblPr>
      <w:tblGrid>
        <w:gridCol w:w="2440"/>
        <w:gridCol w:w="3293"/>
        <w:gridCol w:w="3293"/>
      </w:tblGrid>
      <w:tr w:rsidR="003477A5">
        <w:trPr>
          <w:tblHeader/>
        </w:trPr>
        <w:tc>
          <w:tcPr>
            <w:tcW w:w="2440" w:type="dxa"/>
            <w:shd w:val="clear" w:color="auto" w:fill="auto"/>
            <w:tcMar>
              <w:top w:w="0" w:type="dxa"/>
              <w:left w:w="0" w:type="dxa"/>
              <w:bottom w:w="0" w:type="dxa"/>
              <w:right w:w="0" w:type="dxa"/>
            </w:tcMar>
            <w:vAlign w:val="center"/>
          </w:tcPr>
          <w:p w:rsidR="003477A5" w:rsidRDefault="003477A5">
            <w:pPr>
              <w:rPr>
                <w:rFonts w:ascii="Helvetica" w:hAnsi="Helvetica" w:cs="Helvetica"/>
                <w:color w:val="333333"/>
                <w:sz w:val="21"/>
                <w:szCs w:val="21"/>
              </w:rPr>
            </w:pPr>
          </w:p>
        </w:tc>
        <w:tc>
          <w:tcPr>
            <w:tcW w:w="3293" w:type="dxa"/>
            <w:shd w:val="clear" w:color="auto" w:fill="auto"/>
            <w:tcMar>
              <w:top w:w="0" w:type="dxa"/>
              <w:left w:w="0" w:type="dxa"/>
              <w:bottom w:w="0" w:type="dxa"/>
              <w:right w:w="0" w:type="dxa"/>
            </w:tcMar>
            <w:vAlign w:val="center"/>
          </w:tcPr>
          <w:p w:rsidR="003477A5" w:rsidRDefault="00A67CBF">
            <w:pPr>
              <w:jc w:val="center"/>
            </w:pPr>
            <w:r>
              <w:rPr>
                <w:rStyle w:val="ss-col-title"/>
                <w:rFonts w:ascii="Helvetica" w:hAnsi="Helvetica" w:cs="Helvetica"/>
                <w:color w:val="333333"/>
                <w:sz w:val="21"/>
                <w:szCs w:val="21"/>
              </w:rPr>
              <w:t>Yes</w:t>
            </w:r>
          </w:p>
        </w:tc>
        <w:tc>
          <w:tcPr>
            <w:tcW w:w="3293" w:type="dxa"/>
            <w:shd w:val="clear" w:color="auto" w:fill="auto"/>
            <w:tcMar>
              <w:top w:w="0" w:type="dxa"/>
              <w:left w:w="0" w:type="dxa"/>
              <w:bottom w:w="0" w:type="dxa"/>
              <w:right w:w="0" w:type="dxa"/>
            </w:tcMar>
            <w:vAlign w:val="center"/>
          </w:tcPr>
          <w:p w:rsidR="003477A5" w:rsidRDefault="00A67CBF">
            <w:pPr>
              <w:jc w:val="center"/>
            </w:pPr>
            <w:r>
              <w:rPr>
                <w:rStyle w:val="ss-col-title"/>
                <w:rFonts w:ascii="Helvetica" w:hAnsi="Helvetica" w:cs="Helvetica"/>
                <w:color w:val="333333"/>
                <w:sz w:val="21"/>
                <w:szCs w:val="21"/>
              </w:rPr>
              <w:t>No</w:t>
            </w:r>
          </w:p>
        </w:tc>
      </w:tr>
      <w:tr w:rsidR="003477A5">
        <w:tc>
          <w:tcPr>
            <w:tcW w:w="2440" w:type="dxa"/>
            <w:shd w:val="clear" w:color="auto" w:fill="auto"/>
            <w:tcMar>
              <w:top w:w="0" w:type="dxa"/>
              <w:left w:w="0" w:type="dxa"/>
              <w:bottom w:w="0" w:type="dxa"/>
              <w:right w:w="0" w:type="dxa"/>
            </w:tcMar>
            <w:vAlign w:val="center"/>
          </w:tcPr>
          <w:p w:rsidR="003477A5" w:rsidRDefault="00A67CBF">
            <w:pPr>
              <w:rPr>
                <w:rFonts w:ascii="Helvetica" w:hAnsi="Helvetica" w:cs="Helvetica"/>
                <w:color w:val="333333"/>
                <w:sz w:val="21"/>
                <w:szCs w:val="21"/>
              </w:rPr>
            </w:pPr>
            <w:r>
              <w:rPr>
                <w:rFonts w:ascii="Helvetica" w:hAnsi="Helvetica" w:cs="Helvetica"/>
                <w:color w:val="333333"/>
                <w:sz w:val="21"/>
                <w:szCs w:val="21"/>
              </w:rPr>
              <w:t>business travellers?</w:t>
            </w:r>
          </w:p>
        </w:tc>
        <w:tc>
          <w:tcPr>
            <w:tcW w:w="3293" w:type="dxa"/>
            <w:shd w:val="clear" w:color="auto" w:fill="auto"/>
            <w:tcMar>
              <w:top w:w="0" w:type="dxa"/>
              <w:left w:w="0" w:type="dxa"/>
              <w:bottom w:w="0" w:type="dxa"/>
              <w:right w:w="0" w:type="dxa"/>
            </w:tcMar>
            <w:vAlign w:val="center"/>
          </w:tcPr>
          <w:p w:rsidR="003477A5" w:rsidRDefault="00A67CBF">
            <w:pPr>
              <w:jc w:val="center"/>
            </w:pPr>
            <w:r>
              <w:rPr>
                <w:rFonts w:ascii="Helvetica" w:hAnsi="Helvetica" w:cs="Helvetica"/>
                <w:color w:val="333333"/>
                <w:sz w:val="21"/>
                <w:szCs w:val="21"/>
              </w:rPr>
              <w:t> X </w:t>
            </w:r>
          </w:p>
        </w:tc>
        <w:tc>
          <w:tcPr>
            <w:tcW w:w="3293" w:type="dxa"/>
            <w:shd w:val="clear" w:color="auto" w:fill="auto"/>
            <w:tcMar>
              <w:top w:w="0" w:type="dxa"/>
              <w:left w:w="0" w:type="dxa"/>
              <w:bottom w:w="0" w:type="dxa"/>
              <w:right w:w="0" w:type="dxa"/>
            </w:tcMar>
            <w:vAlign w:val="center"/>
          </w:tcPr>
          <w:p w:rsidR="003477A5" w:rsidRDefault="00A67CBF">
            <w:pPr>
              <w:jc w:val="center"/>
            </w:pPr>
            <w:r>
              <w:rPr>
                <w:rFonts w:ascii="Helvetica" w:hAnsi="Helvetica" w:cs="Helvetica"/>
                <w:noProof/>
                <w:color w:val="333333"/>
                <w:sz w:val="21"/>
                <w:szCs w:val="21"/>
              </w:rPr>
              <w:drawing>
                <wp:inline distT="0" distB="0" distL="0" distR="0">
                  <wp:extent cx="196211" cy="196211"/>
                  <wp:effectExtent l="0" t="0" r="0" b="0"/>
                  <wp:docPr id="4" name="Picture 29" descr="https://app.smartsurvey.co.uk/images/ico/print/checkbox.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rcRect/>
                          <a:stretch>
                            <a:fillRect/>
                          </a:stretch>
                        </pic:blipFill>
                        <pic:spPr>
                          <a:xfrm>
                            <a:off x="0" y="0"/>
                            <a:ext cx="196211" cy="196211"/>
                          </a:xfrm>
                          <a:prstGeom prst="rect">
                            <a:avLst/>
                          </a:prstGeom>
                          <a:noFill/>
                          <a:ln>
                            <a:noFill/>
                            <a:prstDash/>
                          </a:ln>
                        </pic:spPr>
                      </pic:pic>
                    </a:graphicData>
                  </a:graphic>
                </wp:inline>
              </w:drawing>
            </w:r>
            <w:r>
              <w:rPr>
                <w:rFonts w:ascii="Helvetica" w:hAnsi="Helvetica" w:cs="Helvetica"/>
                <w:color w:val="333333"/>
                <w:sz w:val="21"/>
                <w:szCs w:val="21"/>
              </w:rPr>
              <w:t>  </w:t>
            </w:r>
          </w:p>
        </w:tc>
      </w:tr>
      <w:tr w:rsidR="003477A5">
        <w:tc>
          <w:tcPr>
            <w:tcW w:w="2440" w:type="dxa"/>
            <w:shd w:val="clear" w:color="auto" w:fill="auto"/>
            <w:tcMar>
              <w:top w:w="0" w:type="dxa"/>
              <w:left w:w="0" w:type="dxa"/>
              <w:bottom w:w="0" w:type="dxa"/>
              <w:right w:w="0" w:type="dxa"/>
            </w:tcMar>
            <w:vAlign w:val="center"/>
          </w:tcPr>
          <w:p w:rsidR="003477A5" w:rsidRDefault="00A67CBF">
            <w:pPr>
              <w:rPr>
                <w:rFonts w:ascii="Helvetica" w:hAnsi="Helvetica" w:cs="Helvetica"/>
                <w:color w:val="333333"/>
                <w:sz w:val="21"/>
                <w:szCs w:val="21"/>
              </w:rPr>
            </w:pPr>
            <w:r>
              <w:rPr>
                <w:rFonts w:ascii="Helvetica" w:hAnsi="Helvetica" w:cs="Helvetica"/>
                <w:color w:val="333333"/>
                <w:sz w:val="21"/>
                <w:szCs w:val="21"/>
              </w:rPr>
              <w:t>families travelling with children?</w:t>
            </w:r>
          </w:p>
        </w:tc>
        <w:tc>
          <w:tcPr>
            <w:tcW w:w="3293" w:type="dxa"/>
            <w:shd w:val="clear" w:color="auto" w:fill="auto"/>
            <w:tcMar>
              <w:top w:w="0" w:type="dxa"/>
              <w:left w:w="0" w:type="dxa"/>
              <w:bottom w:w="0" w:type="dxa"/>
              <w:right w:w="0" w:type="dxa"/>
            </w:tcMar>
            <w:vAlign w:val="center"/>
          </w:tcPr>
          <w:p w:rsidR="003477A5" w:rsidRDefault="00A67CBF">
            <w:pPr>
              <w:jc w:val="center"/>
            </w:pPr>
            <w:r>
              <w:rPr>
                <w:rFonts w:ascii="Helvetica" w:hAnsi="Helvetica" w:cs="Helvetica"/>
                <w:color w:val="333333"/>
                <w:sz w:val="21"/>
                <w:szCs w:val="21"/>
              </w:rPr>
              <w:t> X</w:t>
            </w:r>
          </w:p>
        </w:tc>
        <w:tc>
          <w:tcPr>
            <w:tcW w:w="3293" w:type="dxa"/>
            <w:shd w:val="clear" w:color="auto" w:fill="auto"/>
            <w:tcMar>
              <w:top w:w="0" w:type="dxa"/>
              <w:left w:w="0" w:type="dxa"/>
              <w:bottom w:w="0" w:type="dxa"/>
              <w:right w:w="0" w:type="dxa"/>
            </w:tcMar>
            <w:vAlign w:val="center"/>
          </w:tcPr>
          <w:p w:rsidR="003477A5" w:rsidRDefault="00A67CBF">
            <w:pPr>
              <w:jc w:val="center"/>
            </w:pPr>
            <w:r>
              <w:rPr>
                <w:rFonts w:ascii="Helvetica" w:hAnsi="Helvetica" w:cs="Helvetica"/>
                <w:noProof/>
                <w:color w:val="333333"/>
                <w:sz w:val="21"/>
                <w:szCs w:val="21"/>
              </w:rPr>
              <w:drawing>
                <wp:inline distT="0" distB="0" distL="0" distR="0">
                  <wp:extent cx="196211" cy="196211"/>
                  <wp:effectExtent l="0" t="0" r="0" b="0"/>
                  <wp:docPr id="5" name="Picture 31" descr="https://app.smartsurvey.co.uk/images/ico/print/checkbox.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rcRect/>
                          <a:stretch>
                            <a:fillRect/>
                          </a:stretch>
                        </pic:blipFill>
                        <pic:spPr>
                          <a:xfrm>
                            <a:off x="0" y="0"/>
                            <a:ext cx="196211" cy="196211"/>
                          </a:xfrm>
                          <a:prstGeom prst="rect">
                            <a:avLst/>
                          </a:prstGeom>
                          <a:noFill/>
                          <a:ln>
                            <a:noFill/>
                            <a:prstDash/>
                          </a:ln>
                        </pic:spPr>
                      </pic:pic>
                    </a:graphicData>
                  </a:graphic>
                </wp:inline>
              </w:drawing>
            </w:r>
            <w:r>
              <w:rPr>
                <w:rFonts w:ascii="Helvetica" w:hAnsi="Helvetica" w:cs="Helvetica"/>
                <w:color w:val="333333"/>
                <w:sz w:val="21"/>
                <w:szCs w:val="21"/>
              </w:rPr>
              <w:t>  </w:t>
            </w:r>
          </w:p>
        </w:tc>
      </w:tr>
      <w:tr w:rsidR="003477A5">
        <w:tc>
          <w:tcPr>
            <w:tcW w:w="2440" w:type="dxa"/>
            <w:shd w:val="clear" w:color="auto" w:fill="auto"/>
            <w:tcMar>
              <w:top w:w="0" w:type="dxa"/>
              <w:left w:w="0" w:type="dxa"/>
              <w:bottom w:w="0" w:type="dxa"/>
              <w:right w:w="0" w:type="dxa"/>
            </w:tcMar>
            <w:vAlign w:val="center"/>
          </w:tcPr>
          <w:p w:rsidR="003477A5" w:rsidRDefault="00A67CBF">
            <w:pPr>
              <w:rPr>
                <w:rFonts w:ascii="Helvetica" w:hAnsi="Helvetica" w:cs="Helvetica"/>
                <w:color w:val="333333"/>
                <w:sz w:val="21"/>
                <w:szCs w:val="21"/>
              </w:rPr>
            </w:pPr>
            <w:r>
              <w:rPr>
                <w:rFonts w:ascii="Helvetica" w:hAnsi="Helvetica" w:cs="Helvetica"/>
                <w:color w:val="333333"/>
                <w:sz w:val="21"/>
                <w:szCs w:val="21"/>
              </w:rPr>
              <w:t>other passengers?</w:t>
            </w:r>
          </w:p>
        </w:tc>
        <w:tc>
          <w:tcPr>
            <w:tcW w:w="3293" w:type="dxa"/>
            <w:shd w:val="clear" w:color="auto" w:fill="auto"/>
            <w:tcMar>
              <w:top w:w="0" w:type="dxa"/>
              <w:left w:w="0" w:type="dxa"/>
              <w:bottom w:w="0" w:type="dxa"/>
              <w:right w:w="0" w:type="dxa"/>
            </w:tcMar>
            <w:vAlign w:val="center"/>
          </w:tcPr>
          <w:p w:rsidR="003477A5" w:rsidRDefault="00A67CBF">
            <w:pPr>
              <w:jc w:val="center"/>
            </w:pPr>
            <w:r>
              <w:rPr>
                <w:rFonts w:ascii="Helvetica" w:hAnsi="Helvetica" w:cs="Helvetica"/>
                <w:color w:val="333333"/>
                <w:sz w:val="21"/>
                <w:szCs w:val="21"/>
              </w:rPr>
              <w:t> X </w:t>
            </w:r>
          </w:p>
        </w:tc>
        <w:tc>
          <w:tcPr>
            <w:tcW w:w="3293" w:type="dxa"/>
            <w:shd w:val="clear" w:color="auto" w:fill="auto"/>
            <w:tcMar>
              <w:top w:w="0" w:type="dxa"/>
              <w:left w:w="0" w:type="dxa"/>
              <w:bottom w:w="0" w:type="dxa"/>
              <w:right w:w="0" w:type="dxa"/>
            </w:tcMar>
            <w:vAlign w:val="center"/>
          </w:tcPr>
          <w:p w:rsidR="003477A5" w:rsidRDefault="00A67CBF">
            <w:pPr>
              <w:jc w:val="center"/>
            </w:pPr>
            <w:r>
              <w:rPr>
                <w:rFonts w:ascii="Helvetica" w:hAnsi="Helvetica" w:cs="Helvetica"/>
                <w:noProof/>
                <w:color w:val="333333"/>
                <w:sz w:val="21"/>
                <w:szCs w:val="21"/>
              </w:rPr>
              <w:drawing>
                <wp:inline distT="0" distB="0" distL="0" distR="0">
                  <wp:extent cx="196211" cy="196211"/>
                  <wp:effectExtent l="0" t="0" r="0" b="0"/>
                  <wp:docPr id="6" name="Picture 33" descr="https://app.smartsurvey.co.uk/images/ico/print/checkbox.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rcRect/>
                          <a:stretch>
                            <a:fillRect/>
                          </a:stretch>
                        </pic:blipFill>
                        <pic:spPr>
                          <a:xfrm>
                            <a:off x="0" y="0"/>
                            <a:ext cx="196211" cy="196211"/>
                          </a:xfrm>
                          <a:prstGeom prst="rect">
                            <a:avLst/>
                          </a:prstGeom>
                          <a:noFill/>
                          <a:ln>
                            <a:noFill/>
                            <a:prstDash/>
                          </a:ln>
                        </pic:spPr>
                      </pic:pic>
                    </a:graphicData>
                  </a:graphic>
                </wp:inline>
              </w:drawing>
            </w:r>
            <w:r>
              <w:rPr>
                <w:rFonts w:ascii="Helvetica" w:hAnsi="Helvetica" w:cs="Helvetica"/>
                <w:color w:val="333333"/>
                <w:sz w:val="21"/>
                <w:szCs w:val="21"/>
              </w:rPr>
              <w:t>  </w:t>
            </w:r>
          </w:p>
        </w:tc>
      </w:tr>
    </w:tbl>
    <w:p w:rsidR="003477A5" w:rsidRDefault="003477A5">
      <w:pPr>
        <w:rPr>
          <w:rFonts w:ascii="Helvetica" w:hAnsi="Helvetica" w:cs="Helvetica"/>
          <w:color w:val="333333"/>
          <w:sz w:val="21"/>
          <w:szCs w:val="21"/>
        </w:rPr>
      </w:pPr>
    </w:p>
    <w:p w:rsidR="003477A5" w:rsidRDefault="00A67CBF">
      <w:pPr>
        <w:rPr>
          <w:rFonts w:ascii="Helvetica" w:hAnsi="Helvetica" w:cs="Helvetica"/>
          <w:color w:val="333333"/>
          <w:sz w:val="21"/>
          <w:szCs w:val="21"/>
        </w:rPr>
      </w:pPr>
      <w:r>
        <w:rPr>
          <w:rFonts w:ascii="Helvetica" w:hAnsi="Helvetica" w:cs="Helvetica"/>
          <w:color w:val="333333"/>
          <w:sz w:val="21"/>
          <w:szCs w:val="21"/>
        </w:rPr>
        <w:t>Please provide more information on what you think should be provided?  </w:t>
      </w: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3477A5">
            <w:pPr>
              <w:spacing w:after="240"/>
              <w:rPr>
                <w:rFonts w:ascii="Helvetica" w:hAnsi="Helvetica" w:cs="Helvetica"/>
                <w:color w:val="333333"/>
                <w:sz w:val="21"/>
                <w:szCs w:val="21"/>
              </w:rPr>
            </w:pPr>
          </w:p>
          <w:p w:rsidR="003477A5" w:rsidRDefault="00A67CBF">
            <w:pPr>
              <w:spacing w:after="240"/>
            </w:pPr>
            <w:r>
              <w:rPr>
                <w:rFonts w:ascii="Helvetica" w:hAnsi="Helvetica" w:cs="Helvetica"/>
                <w:color w:val="333333"/>
                <w:sz w:val="21"/>
                <w:szCs w:val="21"/>
              </w:rPr>
              <w:t xml:space="preserve">It would seem more sensible to indicate the importance of a proper process to determine what should be provided rather than risk bypassing the necessary research that should underpin such decisions.  </w:t>
            </w:r>
            <w:r>
              <w:rPr>
                <w:rFonts w:ascii="Helvetica" w:hAnsi="Helvetica" w:cs="Helvetica"/>
                <w:b/>
                <w:color w:val="333333"/>
                <w:sz w:val="21"/>
                <w:szCs w:val="21"/>
              </w:rPr>
              <w:t>The automotive and the air passenger sector spend hundreds of millions in seeking to identify and understand consumer needs before embarking on new product development.  Passengers have every right to expect a similar effort from the rail industry.  It is the first step in ensuring a competitive product</w:t>
            </w:r>
            <w:r>
              <w:rPr>
                <w:rFonts w:ascii="Helvetica" w:hAnsi="Helvetica" w:cs="Helvetica"/>
                <w:color w:val="333333"/>
                <w:sz w:val="21"/>
                <w:szCs w:val="21"/>
              </w:rPr>
              <w:t>.  It is germane to realising the Government’s objective for the franchise of</w:t>
            </w:r>
            <w:r>
              <w:rPr>
                <w:rStyle w:val="Strong"/>
                <w:rFonts w:ascii="Helvetica" w:hAnsi="Helvetica" w:cs="Helvetica"/>
                <w:color w:val="333333"/>
                <w:sz w:val="21"/>
                <w:szCs w:val="21"/>
              </w:rPr>
              <w:t xml:space="preserve"> </w:t>
            </w:r>
            <w:r>
              <w:rPr>
                <w:rStyle w:val="Strong"/>
                <w:rFonts w:ascii="Helvetica" w:hAnsi="Helvetica" w:cs="Helvetica"/>
                <w:b w:val="0"/>
                <w:color w:val="333333"/>
                <w:sz w:val="21"/>
                <w:szCs w:val="21"/>
              </w:rPr>
              <w:t>focussing on the needs of the travelling public</w:t>
            </w:r>
            <w:r>
              <w:rPr>
                <w:rFonts w:ascii="Helvetica" w:hAnsi="Helvetica" w:cs="Helvetica"/>
                <w:color w:val="333333"/>
                <w:sz w:val="21"/>
                <w:szCs w:val="21"/>
              </w:rPr>
              <w:t xml:space="preserve"> to provide an excellent and continually-improving customer experience for all passengers, whatever their particular needs and abilities. </w:t>
            </w:r>
            <w:r>
              <w:rPr>
                <w:rFonts w:ascii="Helvetica" w:hAnsi="Helvetica" w:cs="Helvetica"/>
                <w:color w:val="333333"/>
                <w:sz w:val="21"/>
                <w:szCs w:val="21"/>
              </w:rPr>
              <w:br/>
            </w:r>
          </w:p>
        </w:tc>
      </w:tr>
    </w:tbl>
    <w:p w:rsidR="003477A5" w:rsidRDefault="00A67CBF">
      <w:pPr>
        <w:rPr>
          <w:rFonts w:ascii="Helvetica" w:hAnsi="Helvetica" w:cs="Helvetica"/>
          <w:b/>
          <w:bCs/>
          <w:color w:val="333333"/>
          <w:sz w:val="36"/>
          <w:szCs w:val="36"/>
        </w:rPr>
      </w:pPr>
      <w:r>
        <w:rPr>
          <w:rFonts w:ascii="Helvetica" w:hAnsi="Helvetica" w:cs="Helvetica"/>
          <w:b/>
          <w:bCs/>
          <w:color w:val="333333"/>
          <w:sz w:val="36"/>
          <w:szCs w:val="36"/>
        </w:rPr>
        <w:t xml:space="preserve">16. Rolling stock </w:t>
      </w:r>
    </w:p>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44. What benefits or disadvantages do you think do you think innovative technologies for rolling stock, e.g. hydrogen or battery power, could bring? </w:t>
      </w:r>
    </w:p>
    <w:p w:rsidR="003477A5" w:rsidRDefault="003477A5">
      <w:pPr>
        <w:rPr>
          <w:rFonts w:ascii="Helvetica" w:hAnsi="Helvetica" w:cs="Helvetica"/>
          <w:color w:val="333333"/>
          <w:sz w:val="21"/>
          <w:szCs w:val="21"/>
        </w:rPr>
      </w:pP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A67CBF">
            <w:pPr>
              <w:spacing w:before="240"/>
            </w:pPr>
            <w:r>
              <w:rPr>
                <w:rFonts w:ascii="Helvetica" w:hAnsi="Helvetica" w:cs="Helvetica"/>
                <w:color w:val="333333"/>
                <w:sz w:val="21"/>
                <w:szCs w:val="21"/>
              </w:rPr>
              <w:t>Commentators have noted the seeming inconsistency in the Department for Transport’s stance in addressing pollution issues: the generous support for innovations that may lead to the widespread adoption of clean fuels for road vehicles on the one hand (even if there has been insufficient attention to the particulate emission impacts of brake, tyre and road surface wear or indeed of new infrastructure construction and maintenance and corrosion and resuspension of road service dust) and its stance of rail electrification.  Parts of Bristol, Bath and Exeter – where the principal rail routes cling to the river valleys – suffer from particularly poor air quality.  An expert report commissioned by the City of Bristol and published in 2017 showed that around 300 deaths each year in the city can be attributed to N0</w:t>
            </w:r>
            <w:r>
              <w:rPr>
                <w:rFonts w:ascii="Helvetica" w:hAnsi="Helvetica" w:cs="Helvetica"/>
                <w:color w:val="333333"/>
                <w:sz w:val="21"/>
                <w:szCs w:val="21"/>
                <w:vertAlign w:val="subscript"/>
              </w:rPr>
              <w:t xml:space="preserve">2 </w:t>
            </w:r>
            <w:r>
              <w:rPr>
                <w:rFonts w:ascii="Helvetica" w:hAnsi="Helvetica" w:cs="Helvetica"/>
                <w:color w:val="333333"/>
                <w:sz w:val="21"/>
                <w:szCs w:val="21"/>
              </w:rPr>
              <w:t xml:space="preserve">and particulates, road traffic being the dominant local source.  This shocking total contrasts with an average of 9 deaths each year resulting from road traffic collisions in the City.  It is not just a reminder of the relative threat from road traffic, but a clarion call to all of us </w:t>
            </w:r>
            <w:r>
              <w:rPr>
                <w:rFonts w:ascii="Helvetica" w:hAnsi="Helvetica" w:cs="Helvetica"/>
                <w:b/>
                <w:color w:val="333333"/>
                <w:sz w:val="21"/>
                <w:szCs w:val="21"/>
              </w:rPr>
              <w:t>to rethink the role of the internal combustion engine, whether in road or rail vehicles</w:t>
            </w:r>
            <w:r>
              <w:rPr>
                <w:rFonts w:ascii="Helvetica" w:hAnsi="Helvetica" w:cs="Helvetica"/>
                <w:color w:val="333333"/>
                <w:sz w:val="21"/>
                <w:szCs w:val="21"/>
              </w:rPr>
              <w:t xml:space="preserve">.  </w:t>
            </w:r>
            <w:r>
              <w:rPr>
                <w:rFonts w:ascii="Helvetica" w:hAnsi="Helvetica" w:cs="Helvetica"/>
                <w:color w:val="333333"/>
                <w:sz w:val="21"/>
                <w:szCs w:val="21"/>
              </w:rPr>
              <w:br/>
            </w:r>
          </w:p>
        </w:tc>
      </w:tr>
    </w:tbl>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45. Are there any routes which would be particularly suitable for these types of innovative technology e.g. hydrogen or battery power? </w:t>
      </w:r>
    </w:p>
    <w:p w:rsidR="003477A5" w:rsidRDefault="003477A5">
      <w:pPr>
        <w:rPr>
          <w:rFonts w:ascii="Helvetica" w:hAnsi="Helvetica" w:cs="Helvetica"/>
          <w:color w:val="333333"/>
          <w:sz w:val="21"/>
          <w:szCs w:val="21"/>
        </w:rPr>
      </w:pP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3477A5">
            <w:pPr>
              <w:spacing w:after="240"/>
              <w:rPr>
                <w:rFonts w:ascii="Helvetica" w:hAnsi="Helvetica" w:cs="Helvetica"/>
                <w:color w:val="333333"/>
                <w:sz w:val="21"/>
                <w:szCs w:val="21"/>
              </w:rPr>
            </w:pPr>
          </w:p>
          <w:p w:rsidR="003477A5" w:rsidRDefault="00A67CBF">
            <w:pPr>
              <w:spacing w:after="240"/>
            </w:pPr>
            <w:r>
              <w:rPr>
                <w:rFonts w:ascii="Helvetica" w:hAnsi="Helvetica" w:cs="Helvetica"/>
                <w:color w:val="333333"/>
                <w:sz w:val="21"/>
                <w:szCs w:val="21"/>
                <w:shd w:val="clear" w:color="auto" w:fill="FFFFFF"/>
              </w:rPr>
              <w:t>The (unelectrified) banks of South Devon and Cornwall, and their curvaceous nature, make the accelerative qualities of electric traction particularly well suited to such routes, but this may require full-scale electrification, rather than mere hydrogen/battery power.</w:t>
            </w:r>
            <w:r>
              <w:rPr>
                <w:rFonts w:ascii="Calibri" w:hAnsi="Calibri" w:cs="Calibri"/>
                <w:color w:val="B00000"/>
                <w:shd w:val="clear" w:color="auto" w:fill="FFFFFF"/>
              </w:rPr>
              <w:t> </w:t>
            </w:r>
            <w:r>
              <w:rPr>
                <w:rFonts w:ascii="Helvetica" w:hAnsi="Helvetica" w:cs="Helvetica"/>
                <w:color w:val="333333"/>
                <w:sz w:val="21"/>
                <w:szCs w:val="21"/>
                <w:shd w:val="clear" w:color="auto" w:fill="FFFFFF"/>
              </w:rPr>
              <w:t>If technology exists that delivers the same acceleration from on-board battery/fuel cell as from electric current at 25 kV, then use of such traction on the banks on the South Devon and Cornwall mainline is desirable over diesel power.</w:t>
            </w:r>
          </w:p>
        </w:tc>
      </w:tr>
    </w:tbl>
    <w:p w:rsidR="003477A5" w:rsidRDefault="00A67CBF">
      <w:pPr>
        <w:rPr>
          <w:rFonts w:ascii="Helvetica" w:hAnsi="Helvetica" w:cs="Helvetica"/>
          <w:b/>
          <w:bCs/>
          <w:color w:val="333333"/>
          <w:sz w:val="36"/>
          <w:szCs w:val="36"/>
        </w:rPr>
      </w:pPr>
      <w:r>
        <w:rPr>
          <w:rFonts w:ascii="Helvetica" w:hAnsi="Helvetica" w:cs="Helvetica"/>
          <w:b/>
          <w:bCs/>
          <w:color w:val="333333"/>
          <w:sz w:val="36"/>
          <w:szCs w:val="36"/>
        </w:rPr>
        <w:t xml:space="preserve">17. Accessibility </w:t>
      </w:r>
    </w:p>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rPr>
          <w:rFonts w:ascii="Helvetica" w:hAnsi="Helvetica" w:cs="Helvetica"/>
          <w:bCs/>
          <w:color w:val="333333"/>
          <w:sz w:val="21"/>
          <w:szCs w:val="21"/>
        </w:rPr>
      </w:pPr>
      <w:r>
        <w:rPr>
          <w:rFonts w:ascii="Helvetica" w:hAnsi="Helvetica" w:cs="Helvetica"/>
          <w:bCs/>
          <w:color w:val="333333"/>
          <w:sz w:val="21"/>
          <w:szCs w:val="21"/>
        </w:rPr>
        <w:t>Passengers with disabilities can face significant challenges when travelling by rail, and at various stages of their journey.  We are determined to continue making progress in breaking down these barriers to disabled people’s confidence in using rail transport.</w:t>
      </w:r>
      <w:r>
        <w:rPr>
          <w:rFonts w:ascii="Helvetica" w:hAnsi="Helvetica" w:cs="Helvetica"/>
          <w:bCs/>
          <w:color w:val="333333"/>
          <w:sz w:val="21"/>
          <w:szCs w:val="21"/>
        </w:rPr>
        <w:br/>
      </w:r>
      <w:r>
        <w:rPr>
          <w:rFonts w:ascii="Helvetica" w:hAnsi="Helvetica" w:cs="Helvetica"/>
          <w:bCs/>
          <w:color w:val="333333"/>
          <w:sz w:val="21"/>
          <w:szCs w:val="21"/>
        </w:rPr>
        <w:br/>
        <w:t>We propose to seek commitments in the franchise for high-quality disability awareness training for public facing staff, recognising that there is a wide range of disabilities, not all of which are visible, and in being aware of the differing needs of individuals with different forms of disability We will seek commitments for high-quality consultation specifically with disabled passengers, and more systematic monitoring and reporting of the quality of service provided to passengers with disabilities and acting on the results of such reports.   We will expect the franchisee to develop proposals for improving accessibility to and within stations.</w:t>
      </w:r>
    </w:p>
    <w:p w:rsidR="003477A5" w:rsidRDefault="003477A5">
      <w:pPr>
        <w:rPr>
          <w:rFonts w:ascii="Helvetica" w:hAnsi="Helvetica" w:cs="Helvetica"/>
          <w:color w:val="333333"/>
          <w:sz w:val="21"/>
          <w:szCs w:val="21"/>
        </w:rPr>
      </w:pP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46. Which stations do you think should be a priority for improving accessibility? </w:t>
      </w:r>
    </w:p>
    <w:p w:rsidR="003477A5" w:rsidRDefault="003477A5">
      <w:pPr>
        <w:rPr>
          <w:rFonts w:ascii="Helvetica" w:hAnsi="Helvetica" w:cs="Helvetica"/>
          <w:color w:val="333333"/>
          <w:sz w:val="21"/>
          <w:szCs w:val="21"/>
        </w:rPr>
      </w:pP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A67CBF">
            <w:pPr>
              <w:spacing w:after="240"/>
            </w:pPr>
            <w:r>
              <w:rPr>
                <w:rFonts w:ascii="Helvetica" w:hAnsi="Helvetica" w:cs="Helvetica"/>
                <w:color w:val="333333"/>
                <w:sz w:val="21"/>
                <w:szCs w:val="21"/>
              </w:rPr>
              <w:t xml:space="preserve">A number of consultees raised concerns about the </w:t>
            </w:r>
            <w:r>
              <w:rPr>
                <w:rFonts w:ascii="Helvetica" w:hAnsi="Helvetica" w:cs="Helvetica"/>
                <w:b/>
                <w:color w:val="333333"/>
                <w:sz w:val="21"/>
                <w:szCs w:val="21"/>
              </w:rPr>
              <w:t>vertical and horizontal step gaps between platform and trains</w:t>
            </w:r>
            <w:r>
              <w:rPr>
                <w:rFonts w:ascii="Helvetica" w:hAnsi="Helvetica" w:cs="Helvetica"/>
                <w:color w:val="333333"/>
                <w:sz w:val="21"/>
                <w:szCs w:val="21"/>
              </w:rPr>
              <w:t xml:space="preserve"> at various stations on the network, most notably at Bath Spa.  One respondent reported that she had seen a mother almost lose a small child to the gap that morning.</w:t>
            </w:r>
            <w:r>
              <w:rPr>
                <w:rFonts w:ascii="Helvetica" w:hAnsi="Helvetica" w:cs="Helvetica"/>
                <w:color w:val="333333"/>
                <w:sz w:val="21"/>
                <w:szCs w:val="21"/>
              </w:rPr>
              <w:br/>
            </w:r>
            <w:r>
              <w:rPr>
                <w:rFonts w:ascii="Helvetica" w:hAnsi="Helvetica" w:cs="Helvetica"/>
                <w:color w:val="333333"/>
                <w:sz w:val="21"/>
                <w:szCs w:val="21"/>
              </w:rPr>
              <w:br/>
            </w:r>
            <w:r>
              <w:rPr>
                <w:rFonts w:ascii="Helvetica" w:hAnsi="Helvetica" w:cs="Helvetica"/>
                <w:color w:val="333333"/>
                <w:sz w:val="21"/>
                <w:szCs w:val="21"/>
              </w:rPr>
              <w:br/>
            </w:r>
          </w:p>
        </w:tc>
      </w:tr>
    </w:tbl>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47. Give your reasons. </w:t>
      </w:r>
    </w:p>
    <w:p w:rsidR="003477A5" w:rsidRDefault="003477A5">
      <w:pPr>
        <w:rPr>
          <w:rFonts w:ascii="Helvetica" w:hAnsi="Helvetica" w:cs="Helvetica"/>
          <w:color w:val="333333"/>
          <w:sz w:val="21"/>
          <w:szCs w:val="21"/>
        </w:rPr>
      </w:pP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3477A5">
            <w:pPr>
              <w:spacing w:after="240"/>
              <w:rPr>
                <w:rFonts w:ascii="Helvetica" w:hAnsi="Helvetica" w:cs="Helvetica"/>
                <w:color w:val="333333"/>
                <w:sz w:val="21"/>
                <w:szCs w:val="21"/>
              </w:rPr>
            </w:pPr>
          </w:p>
          <w:p w:rsidR="003477A5" w:rsidRDefault="00A67CBF">
            <w:pPr>
              <w:spacing w:after="240"/>
            </w:pPr>
            <w:r>
              <w:rPr>
                <w:rFonts w:ascii="Helvetica" w:hAnsi="Helvetica" w:cs="Helvetica"/>
                <w:color w:val="333333"/>
                <w:sz w:val="21"/>
                <w:szCs w:val="21"/>
              </w:rPr>
              <w:t xml:space="preserve">Accessibility improvements should be focussed initially on those stations where people inter-change and prioritised on the basis of footfall.  It is always worth remembering that what is good for a passenger with disabilities, or a person with reduced mobility, is almost always an improvement for everyone else too.  Special account also needs to be taken in providing national resources of the skewed demographics of the South West, in substantial parts of which live a disproportionately high number of people aged 65+.  (More than 30% of the population of South Hams, West Devon, East Devon, West Dorset and West Somerset fall into this category (twice that projected for England as a whole in 2024.)   This group frequently has access to relatively high disposable income.  </w:t>
            </w:r>
            <w:r>
              <w:rPr>
                <w:rFonts w:ascii="Helvetica" w:hAnsi="Helvetica" w:cs="Helvetica"/>
                <w:b/>
                <w:color w:val="333333"/>
                <w:sz w:val="21"/>
                <w:szCs w:val="21"/>
              </w:rPr>
              <w:t>Age-friendly transport provision, where older people are enabled to overcome physical and cognitive constraints to maintain active life-styles brings significant social wealth and other welfare benefits</w:t>
            </w:r>
            <w:r>
              <w:rPr>
                <w:rFonts w:ascii="Helvetica" w:hAnsi="Helvetica" w:cs="Helvetica"/>
                <w:color w:val="333333"/>
                <w:sz w:val="21"/>
                <w:szCs w:val="21"/>
              </w:rPr>
              <w:t>.   It is often of value not just to the elderly but to all. Providing for this can be as simple as facilitating dependable platform assistance at stations where passengers change between services or of ensuring appropriate access to well-maintained toilet facilities, both on trains and at stations.</w:t>
            </w:r>
            <w:r>
              <w:rPr>
                <w:rFonts w:ascii="Helvetica" w:hAnsi="Helvetica" w:cs="Helvetica"/>
                <w:color w:val="333333"/>
                <w:sz w:val="21"/>
                <w:szCs w:val="21"/>
              </w:rPr>
              <w:br/>
            </w:r>
          </w:p>
        </w:tc>
      </w:tr>
    </w:tbl>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48. What other improvements could help to make rail services easier to access and use for all passengers? </w:t>
      </w:r>
    </w:p>
    <w:p w:rsidR="003477A5" w:rsidRDefault="003477A5">
      <w:pPr>
        <w:rPr>
          <w:rFonts w:ascii="Helvetica" w:hAnsi="Helvetica" w:cs="Helvetica"/>
          <w:color w:val="333333"/>
          <w:sz w:val="21"/>
          <w:szCs w:val="21"/>
        </w:rPr>
      </w:pP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3477A5">
            <w:pPr>
              <w:spacing w:after="240"/>
              <w:rPr>
                <w:rFonts w:ascii="Helvetica" w:hAnsi="Helvetica" w:cs="Helvetica"/>
                <w:color w:val="333333"/>
                <w:sz w:val="21"/>
                <w:szCs w:val="21"/>
              </w:rPr>
            </w:pPr>
          </w:p>
          <w:p w:rsidR="003477A5" w:rsidRDefault="00A67CBF">
            <w:pPr>
              <w:pStyle w:val="ListParagraph"/>
              <w:numPr>
                <w:ilvl w:val="0"/>
                <w:numId w:val="23"/>
              </w:numPr>
              <w:spacing w:after="240"/>
            </w:pPr>
            <w:r>
              <w:rPr>
                <w:rFonts w:ascii="Helvetica" w:hAnsi="Helvetica" w:cs="Helvetica"/>
                <w:color w:val="333333"/>
                <w:sz w:val="21"/>
                <w:szCs w:val="21"/>
              </w:rPr>
              <w:t xml:space="preserve">Lack of convenient </w:t>
            </w:r>
            <w:r>
              <w:rPr>
                <w:rFonts w:ascii="Helvetica" w:hAnsi="Helvetica" w:cs="Helvetica"/>
                <w:b/>
                <w:color w:val="333333"/>
                <w:sz w:val="21"/>
                <w:szCs w:val="21"/>
              </w:rPr>
              <w:t>cross-platform interchange</w:t>
            </w:r>
            <w:r>
              <w:rPr>
                <w:rFonts w:ascii="Helvetica" w:hAnsi="Helvetica" w:cs="Helvetica"/>
                <w:color w:val="333333"/>
                <w:sz w:val="21"/>
                <w:szCs w:val="21"/>
              </w:rPr>
              <w:t xml:space="preserve"> facilities is a perennial cause for complaint and, for all passengers with reduced mobility – whether disabled or shepherding young children – a barrier to delivery on an excellent and continually improving customer experience for all passengers.  One suggested incentive that emerged from our consultations last year is the idea that the payments that TOCs must make when they are responsible for a cancellation or delay should all be ring-fenced (after customer compensation payments have been made) for spending on asset enhancements directly benefitting customers.  The fund so created should be allocated by a panel that includes users’ representatives.</w:t>
            </w:r>
          </w:p>
          <w:p w:rsidR="003477A5" w:rsidRDefault="00A67CBF">
            <w:pPr>
              <w:pStyle w:val="ListParagraph"/>
              <w:numPr>
                <w:ilvl w:val="0"/>
                <w:numId w:val="23"/>
              </w:numPr>
              <w:spacing w:after="240"/>
              <w:rPr>
                <w:rFonts w:ascii="Helvetica" w:hAnsi="Helvetica" w:cs="Helvetica"/>
                <w:color w:val="333333"/>
                <w:sz w:val="21"/>
                <w:szCs w:val="21"/>
              </w:rPr>
            </w:pPr>
            <w:r>
              <w:rPr>
                <w:rFonts w:ascii="Helvetica" w:hAnsi="Helvetica" w:cs="Helvetica"/>
                <w:color w:val="333333"/>
                <w:sz w:val="21"/>
                <w:szCs w:val="21"/>
              </w:rPr>
              <w:t>For many people in the South West with its dispersed patterns of population settlement and the decreasing coverage provided by bus services, ‘rail-heading’ is a vital option.  Adequate parking provision at rail heads in an essential.  People must have the assurance that they can always get a car parking space at stations.  This may be facilitated by such things as schemes that give intending passengers the ability to pre-book their space, giving confidence to make the rest of their journey by rail.</w:t>
            </w:r>
          </w:p>
          <w:p w:rsidR="003477A5" w:rsidRDefault="00A67CBF">
            <w:pPr>
              <w:spacing w:after="240"/>
            </w:pPr>
            <w:r>
              <w:rPr>
                <w:rFonts w:ascii="Helvetica" w:hAnsi="Helvetica" w:cs="Helvetica"/>
                <w:color w:val="333333"/>
                <w:sz w:val="21"/>
                <w:szCs w:val="21"/>
              </w:rPr>
              <w:br/>
            </w:r>
            <w:r>
              <w:rPr>
                <w:rFonts w:ascii="Helvetica" w:hAnsi="Helvetica" w:cs="Helvetica"/>
                <w:color w:val="333333"/>
                <w:sz w:val="21"/>
                <w:szCs w:val="21"/>
              </w:rPr>
              <w:br/>
            </w:r>
            <w:r>
              <w:rPr>
                <w:rFonts w:ascii="Helvetica" w:hAnsi="Helvetica" w:cs="Helvetica"/>
                <w:color w:val="333333"/>
                <w:sz w:val="21"/>
                <w:szCs w:val="21"/>
              </w:rPr>
              <w:br/>
            </w:r>
          </w:p>
        </w:tc>
      </w:tr>
    </w:tbl>
    <w:p w:rsidR="003477A5" w:rsidRDefault="00A67CBF">
      <w:pPr>
        <w:rPr>
          <w:rFonts w:ascii="Helvetica" w:hAnsi="Helvetica" w:cs="Helvetica"/>
          <w:b/>
          <w:bCs/>
          <w:color w:val="333333"/>
          <w:sz w:val="36"/>
          <w:szCs w:val="36"/>
        </w:rPr>
      </w:pPr>
      <w:r>
        <w:rPr>
          <w:rFonts w:ascii="Helvetica" w:hAnsi="Helvetica" w:cs="Helvetica"/>
          <w:b/>
          <w:bCs/>
          <w:color w:val="333333"/>
          <w:sz w:val="36"/>
          <w:szCs w:val="36"/>
        </w:rPr>
        <w:t xml:space="preserve">18. Stations </w:t>
      </w:r>
    </w:p>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rPr>
          <w:rFonts w:ascii="Helvetica" w:hAnsi="Helvetica" w:cs="Helvetica"/>
          <w:bCs/>
          <w:color w:val="333333"/>
          <w:sz w:val="21"/>
          <w:szCs w:val="21"/>
        </w:rPr>
      </w:pPr>
      <w:r>
        <w:rPr>
          <w:rFonts w:ascii="Helvetica" w:hAnsi="Helvetica" w:cs="Helvetica"/>
          <w:bCs/>
          <w:color w:val="333333"/>
          <w:sz w:val="21"/>
          <w:szCs w:val="21"/>
        </w:rPr>
        <w:t xml:space="preserve">Stations, and the journey to and from them, are a key component of passengers’ overall journey experience.   Stakeholders have highlighted a number of areas where the franchise specification could focus attention: </w:t>
      </w:r>
    </w:p>
    <w:tbl>
      <w:tblPr>
        <w:tblW w:w="9026" w:type="dxa"/>
        <w:tblCellMar>
          <w:left w:w="10" w:type="dxa"/>
          <w:right w:w="10" w:type="dxa"/>
        </w:tblCellMar>
        <w:tblLook w:val="0000" w:firstRow="0" w:lastRow="0" w:firstColumn="0" w:lastColumn="0" w:noHBand="0" w:noVBand="0"/>
      </w:tblPr>
      <w:tblGrid>
        <w:gridCol w:w="9026"/>
      </w:tblGrid>
      <w:tr w:rsidR="003477A5">
        <w:tc>
          <w:tcPr>
            <w:tcW w:w="9026" w:type="dxa"/>
            <w:shd w:val="clear" w:color="auto" w:fill="auto"/>
            <w:tcMar>
              <w:top w:w="0" w:type="dxa"/>
              <w:left w:w="0" w:type="dxa"/>
              <w:bottom w:w="0" w:type="dxa"/>
              <w:right w:w="0" w:type="dxa"/>
            </w:tcMar>
          </w:tcPr>
          <w:p w:rsidR="003477A5" w:rsidRDefault="00A67CBF">
            <w:pPr>
              <w:pStyle w:val="ListParagraph"/>
              <w:numPr>
                <w:ilvl w:val="0"/>
                <w:numId w:val="24"/>
              </w:numPr>
              <w:spacing w:before="300" w:after="300"/>
              <w:rPr>
                <w:rFonts w:ascii="Helvetica" w:hAnsi="Helvetica" w:cs="Helvetica"/>
                <w:color w:val="333333"/>
                <w:sz w:val="21"/>
                <w:szCs w:val="21"/>
              </w:rPr>
            </w:pPr>
            <w:r>
              <w:rPr>
                <w:rFonts w:ascii="Helvetica" w:hAnsi="Helvetica" w:cs="Helvetica"/>
                <w:color w:val="333333"/>
                <w:sz w:val="21"/>
                <w:szCs w:val="21"/>
              </w:rPr>
              <w:t>improving station facilities.  This includes the provision of seating, shelters, accurate up-to-date information, improving accessibility for those with disabilities to and within the station, improving designs to allow a great throughput of passengers, and maintaining safety and security</w:t>
            </w:r>
          </w:p>
        </w:tc>
      </w:tr>
      <w:tr w:rsidR="003477A5">
        <w:tc>
          <w:tcPr>
            <w:tcW w:w="9026" w:type="dxa"/>
            <w:shd w:val="clear" w:color="auto" w:fill="auto"/>
            <w:tcMar>
              <w:top w:w="0" w:type="dxa"/>
              <w:left w:w="0" w:type="dxa"/>
              <w:bottom w:w="0" w:type="dxa"/>
              <w:right w:w="0" w:type="dxa"/>
            </w:tcMar>
          </w:tcPr>
          <w:p w:rsidR="003477A5" w:rsidRDefault="00A67CBF">
            <w:pPr>
              <w:pStyle w:val="ListParagraph"/>
              <w:numPr>
                <w:ilvl w:val="0"/>
                <w:numId w:val="24"/>
              </w:numPr>
              <w:spacing w:before="300" w:after="300"/>
              <w:rPr>
                <w:rFonts w:ascii="Helvetica" w:hAnsi="Helvetica" w:cs="Helvetica"/>
                <w:color w:val="333333"/>
                <w:sz w:val="21"/>
                <w:szCs w:val="21"/>
              </w:rPr>
            </w:pPr>
            <w:r>
              <w:rPr>
                <w:rFonts w:ascii="Helvetica" w:hAnsi="Helvetica" w:cs="Helvetica"/>
                <w:color w:val="333333"/>
                <w:sz w:val="21"/>
                <w:szCs w:val="21"/>
              </w:rPr>
              <w:t>improving car and cycle parking, particularly where a shortage of car parking spaces may be acting as a barrier to future growth, and a greater provision of electric car charging points</w:t>
            </w:r>
          </w:p>
        </w:tc>
      </w:tr>
      <w:tr w:rsidR="003477A5">
        <w:tc>
          <w:tcPr>
            <w:tcW w:w="9026" w:type="dxa"/>
            <w:shd w:val="clear" w:color="auto" w:fill="auto"/>
            <w:tcMar>
              <w:top w:w="0" w:type="dxa"/>
              <w:left w:w="0" w:type="dxa"/>
              <w:bottom w:w="0" w:type="dxa"/>
              <w:right w:w="0" w:type="dxa"/>
            </w:tcMar>
          </w:tcPr>
          <w:p w:rsidR="003477A5" w:rsidRDefault="00A67CBF">
            <w:pPr>
              <w:pStyle w:val="ListParagraph"/>
              <w:numPr>
                <w:ilvl w:val="0"/>
                <w:numId w:val="24"/>
              </w:numPr>
              <w:spacing w:before="300" w:after="300"/>
              <w:rPr>
                <w:rFonts w:ascii="Helvetica" w:hAnsi="Helvetica" w:cs="Helvetica"/>
                <w:color w:val="333333"/>
                <w:sz w:val="21"/>
                <w:szCs w:val="21"/>
              </w:rPr>
            </w:pPr>
            <w:r>
              <w:rPr>
                <w:rFonts w:ascii="Helvetica" w:hAnsi="Helvetica" w:cs="Helvetica"/>
                <w:color w:val="333333"/>
                <w:sz w:val="21"/>
                <w:szCs w:val="21"/>
              </w:rPr>
              <w:t>improving access for pedestrians and cyclists, with clear direction signs and safe, well-lit routes</w:t>
            </w:r>
          </w:p>
        </w:tc>
      </w:tr>
      <w:tr w:rsidR="003477A5">
        <w:tc>
          <w:tcPr>
            <w:tcW w:w="9026" w:type="dxa"/>
            <w:shd w:val="clear" w:color="auto" w:fill="auto"/>
            <w:tcMar>
              <w:top w:w="0" w:type="dxa"/>
              <w:left w:w="0" w:type="dxa"/>
              <w:bottom w:w="0" w:type="dxa"/>
              <w:right w:w="0" w:type="dxa"/>
            </w:tcMar>
          </w:tcPr>
          <w:p w:rsidR="003477A5" w:rsidRDefault="00A67CBF">
            <w:pPr>
              <w:pStyle w:val="ListParagraph"/>
              <w:numPr>
                <w:ilvl w:val="0"/>
                <w:numId w:val="24"/>
              </w:numPr>
              <w:spacing w:before="300" w:after="300"/>
              <w:rPr>
                <w:rFonts w:ascii="Helvetica" w:hAnsi="Helvetica" w:cs="Helvetica"/>
                <w:color w:val="333333"/>
                <w:sz w:val="21"/>
                <w:szCs w:val="21"/>
              </w:rPr>
            </w:pPr>
            <w:r>
              <w:rPr>
                <w:rFonts w:ascii="Helvetica" w:hAnsi="Helvetica" w:cs="Helvetica"/>
                <w:color w:val="333333"/>
                <w:sz w:val="21"/>
                <w:szCs w:val="21"/>
              </w:rPr>
              <w:t>improving accessibility, physical interchange and co-ordination between rail services and other modes of transport</w:t>
            </w:r>
          </w:p>
        </w:tc>
      </w:tr>
      <w:tr w:rsidR="003477A5">
        <w:tc>
          <w:tcPr>
            <w:tcW w:w="9026" w:type="dxa"/>
            <w:shd w:val="clear" w:color="auto" w:fill="auto"/>
            <w:tcMar>
              <w:top w:w="0" w:type="dxa"/>
              <w:left w:w="0" w:type="dxa"/>
              <w:bottom w:w="0" w:type="dxa"/>
              <w:right w:w="0" w:type="dxa"/>
            </w:tcMar>
          </w:tcPr>
          <w:p w:rsidR="003477A5" w:rsidRDefault="00A67CBF">
            <w:pPr>
              <w:pStyle w:val="ListParagraph"/>
              <w:numPr>
                <w:ilvl w:val="0"/>
                <w:numId w:val="24"/>
              </w:numPr>
              <w:spacing w:before="300" w:after="300"/>
              <w:rPr>
                <w:rFonts w:ascii="Helvetica" w:hAnsi="Helvetica" w:cs="Helvetica"/>
                <w:color w:val="333333"/>
                <w:sz w:val="21"/>
                <w:szCs w:val="21"/>
              </w:rPr>
            </w:pPr>
            <w:r>
              <w:rPr>
                <w:rFonts w:ascii="Helvetica" w:hAnsi="Helvetica" w:cs="Helvetica"/>
                <w:color w:val="333333"/>
                <w:sz w:val="21"/>
                <w:szCs w:val="21"/>
              </w:rPr>
              <w:t>working with local communities to bring disused station buildings back into community use, e.g. as cafes or community hubs</w:t>
            </w:r>
          </w:p>
        </w:tc>
      </w:tr>
      <w:tr w:rsidR="003477A5">
        <w:tc>
          <w:tcPr>
            <w:tcW w:w="9026" w:type="dxa"/>
            <w:shd w:val="clear" w:color="auto" w:fill="auto"/>
            <w:tcMar>
              <w:top w:w="0" w:type="dxa"/>
              <w:left w:w="0" w:type="dxa"/>
              <w:bottom w:w="0" w:type="dxa"/>
              <w:right w:w="0" w:type="dxa"/>
            </w:tcMar>
          </w:tcPr>
          <w:p w:rsidR="003477A5" w:rsidRDefault="00A67CBF">
            <w:pPr>
              <w:pStyle w:val="ListParagraph"/>
              <w:numPr>
                <w:ilvl w:val="0"/>
                <w:numId w:val="24"/>
              </w:numPr>
              <w:spacing w:before="300" w:after="300"/>
              <w:rPr>
                <w:rFonts w:ascii="Helvetica" w:hAnsi="Helvetica" w:cs="Helvetica"/>
                <w:color w:val="333333"/>
                <w:sz w:val="21"/>
                <w:szCs w:val="21"/>
              </w:rPr>
            </w:pPr>
            <w:r>
              <w:rPr>
                <w:rFonts w:ascii="Helvetica" w:hAnsi="Helvetica" w:cs="Helvetica"/>
                <w:color w:val="333333"/>
                <w:sz w:val="21"/>
                <w:szCs w:val="21"/>
              </w:rPr>
              <w:t>co-operating with local authority schemes for station improvements and redevelopment of the areas surrounding stations</w:t>
            </w:r>
          </w:p>
        </w:tc>
      </w:tr>
    </w:tbl>
    <w:p w:rsidR="003477A5" w:rsidRDefault="00A67CBF">
      <w:r>
        <w:rPr>
          <w:rFonts w:ascii="Helvetica" w:hAnsi="Helvetica" w:cs="Helvetica"/>
          <w:b/>
          <w:bCs/>
          <w:color w:val="333333"/>
          <w:sz w:val="21"/>
          <w:szCs w:val="21"/>
        </w:rPr>
        <w:t> </w:t>
      </w:r>
      <w:r>
        <w:rPr>
          <w:rFonts w:ascii="Helvetica" w:hAnsi="Helvetica" w:cs="Helvetica"/>
          <w:b/>
          <w:bCs/>
          <w:color w:val="333333"/>
          <w:sz w:val="21"/>
          <w:szCs w:val="21"/>
        </w:rPr>
        <w:br/>
      </w:r>
      <w:r>
        <w:rPr>
          <w:rFonts w:ascii="Helvetica" w:hAnsi="Helvetica" w:cs="Helvetica"/>
          <w:bCs/>
          <w:color w:val="333333"/>
          <w:sz w:val="21"/>
          <w:szCs w:val="21"/>
        </w:rPr>
        <w:t>We will consider the case for requiring the franchisee to set aside funds for station improvements, as we have done in some recent franchise competitions, and if a portion of this should be dedicated for improvements at smaller stations.</w:t>
      </w:r>
      <w:r>
        <w:rPr>
          <w:rFonts w:ascii="Helvetica" w:hAnsi="Helvetica" w:cs="Helvetica"/>
          <w:bCs/>
          <w:color w:val="333333"/>
          <w:sz w:val="21"/>
          <w:szCs w:val="21"/>
        </w:rPr>
        <w:br/>
      </w:r>
      <w:r>
        <w:rPr>
          <w:rFonts w:ascii="Helvetica" w:hAnsi="Helvetica" w:cs="Helvetica"/>
          <w:bCs/>
          <w:color w:val="333333"/>
          <w:sz w:val="21"/>
          <w:szCs w:val="21"/>
        </w:rPr>
        <w:br/>
        <w:t>We would also expect the franchisee to co-operate with locally-promoted schemes for station improvements and improvements to the areas around stations, and to continue work on developing station ‘master plans’ for some stations.</w:t>
      </w:r>
      <w:r>
        <w:rPr>
          <w:rFonts w:ascii="Helvetica" w:hAnsi="Helvetica" w:cs="Helvetica"/>
          <w:bCs/>
          <w:color w:val="333333"/>
          <w:sz w:val="21"/>
          <w:szCs w:val="21"/>
        </w:rPr>
        <w:br/>
      </w:r>
      <w:r>
        <w:rPr>
          <w:rFonts w:ascii="Helvetica" w:hAnsi="Helvetica" w:cs="Helvetica"/>
          <w:bCs/>
          <w:color w:val="333333"/>
          <w:sz w:val="21"/>
          <w:szCs w:val="21"/>
        </w:rPr>
        <w:br/>
        <w:t>We expect to require the franchisee to develop proposals for better co-ordination with other transport modes, building on the approach used in recent franchise competitions, and will consider the case for encouraging the franchisee to develop and update more Station Travel Plans and make better use of them, in consultation with passengers and other local stakeholders. </w:t>
      </w:r>
      <w:r>
        <w:rPr>
          <w:rFonts w:ascii="Helvetica" w:hAnsi="Helvetica" w:cs="Helvetica"/>
          <w:bCs/>
          <w:color w:val="333333"/>
          <w:sz w:val="21"/>
          <w:szCs w:val="21"/>
        </w:rPr>
        <w:br/>
        <w:t>We will consider whether we should require the franchisee to provide more electric car charging points.</w:t>
      </w:r>
      <w:r>
        <w:rPr>
          <w:rFonts w:ascii="Helvetica" w:hAnsi="Helvetica" w:cs="Helvetica"/>
          <w:bCs/>
          <w:color w:val="333333"/>
          <w:sz w:val="21"/>
          <w:szCs w:val="21"/>
        </w:rPr>
        <w:br/>
      </w:r>
      <w:r>
        <w:rPr>
          <w:rFonts w:ascii="Helvetica" w:hAnsi="Helvetica" w:cs="Helvetica"/>
          <w:bCs/>
          <w:color w:val="333333"/>
          <w:sz w:val="21"/>
          <w:szCs w:val="21"/>
        </w:rPr>
        <w:br/>
        <w:t>We will expect the franchisee to continue to improve security at stations, including areas such as staff awareness, availability of CCTV coverage and engagement with the Secure Stations Scheme.</w:t>
      </w:r>
      <w:r>
        <w:rPr>
          <w:rFonts w:ascii="Helvetica" w:hAnsi="Helvetica" w:cs="Helvetica"/>
          <w:bCs/>
          <w:color w:val="333333"/>
          <w:sz w:val="21"/>
          <w:szCs w:val="21"/>
        </w:rPr>
        <w:br/>
        <w:t> </w:t>
      </w:r>
    </w:p>
    <w:p w:rsidR="003477A5" w:rsidRDefault="003477A5">
      <w:pPr>
        <w:rPr>
          <w:rFonts w:ascii="Helvetica" w:hAnsi="Helvetica" w:cs="Helvetica"/>
          <w:color w:val="333333"/>
          <w:sz w:val="21"/>
          <w:szCs w:val="21"/>
        </w:rPr>
      </w:pPr>
    </w:p>
    <w:p w:rsidR="003477A5" w:rsidRDefault="00A67CBF">
      <w:pPr>
        <w:pStyle w:val="Heading3"/>
        <w:spacing w:before="300"/>
      </w:pPr>
      <w:r>
        <w:rPr>
          <w:rFonts w:ascii="Helvetica" w:hAnsi="Helvetica" w:cs="Helvetica"/>
          <w:b/>
          <w:bCs/>
          <w:color w:val="333333"/>
          <w:sz w:val="21"/>
          <w:szCs w:val="21"/>
        </w:rPr>
        <w:t xml:space="preserve">49. Do you think these are the right priorities for stations in the new franchise? </w:t>
      </w:r>
      <w:r>
        <w:rPr>
          <w:rStyle w:val="Strong"/>
          <w:rFonts w:ascii="Helvetica" w:hAnsi="Helvetica" w:cs="Helvetica"/>
          <w:color w:val="333333"/>
          <w:sz w:val="21"/>
          <w:szCs w:val="21"/>
        </w:rPr>
        <w:t>*</w:t>
      </w:r>
    </w:p>
    <w:p w:rsidR="003477A5" w:rsidRDefault="003477A5">
      <w:pPr>
        <w:rPr>
          <w:rFonts w:ascii="Helvetica" w:hAnsi="Helvetica" w:cs="Helvetica"/>
          <w:color w:val="333333"/>
          <w:sz w:val="21"/>
          <w:szCs w:val="21"/>
        </w:rPr>
      </w:pPr>
    </w:p>
    <w:tbl>
      <w:tblPr>
        <w:tblW w:w="3087" w:type="dxa"/>
        <w:tblCellMar>
          <w:left w:w="10" w:type="dxa"/>
          <w:right w:w="10" w:type="dxa"/>
        </w:tblCellMar>
        <w:tblLook w:val="0000" w:firstRow="0" w:lastRow="0" w:firstColumn="0" w:lastColumn="0" w:noHBand="0" w:noVBand="0"/>
      </w:tblPr>
      <w:tblGrid>
        <w:gridCol w:w="426"/>
        <w:gridCol w:w="2661"/>
      </w:tblGrid>
      <w:tr w:rsidR="003477A5">
        <w:tc>
          <w:tcPr>
            <w:tcW w:w="426" w:type="dxa"/>
            <w:shd w:val="clear" w:color="auto" w:fill="auto"/>
            <w:tcMar>
              <w:top w:w="0" w:type="dxa"/>
              <w:left w:w="0" w:type="dxa"/>
              <w:bottom w:w="0" w:type="dxa"/>
              <w:right w:w="0" w:type="dxa"/>
            </w:tcMar>
          </w:tcPr>
          <w:p w:rsidR="003477A5" w:rsidRDefault="00A67CBF">
            <w:r>
              <w:rPr>
                <w:rFonts w:ascii="Helvetica" w:hAnsi="Helvetica" w:cs="Helvetica"/>
                <w:color w:val="333333"/>
                <w:sz w:val="21"/>
                <w:szCs w:val="21"/>
              </w:rPr>
              <w:t>X </w:t>
            </w:r>
          </w:p>
        </w:tc>
        <w:tc>
          <w:tcPr>
            <w:tcW w:w="2661" w:type="dxa"/>
            <w:shd w:val="clear" w:color="auto" w:fill="auto"/>
            <w:tcMar>
              <w:top w:w="0" w:type="dxa"/>
              <w:left w:w="0" w:type="dxa"/>
              <w:bottom w:w="0" w:type="dxa"/>
              <w:right w:w="0" w:type="dxa"/>
            </w:tcMar>
            <w:vAlign w:val="center"/>
          </w:tcPr>
          <w:p w:rsidR="003477A5" w:rsidRDefault="00A67CBF">
            <w:pPr>
              <w:rPr>
                <w:rFonts w:ascii="Helvetica" w:hAnsi="Helvetica" w:cs="Helvetica"/>
                <w:color w:val="333333"/>
                <w:sz w:val="21"/>
                <w:szCs w:val="21"/>
              </w:rPr>
            </w:pPr>
            <w:r>
              <w:rPr>
                <w:rFonts w:ascii="Helvetica" w:hAnsi="Helvetica" w:cs="Helvetica"/>
                <w:color w:val="333333"/>
                <w:sz w:val="21"/>
                <w:szCs w:val="21"/>
              </w:rPr>
              <w:t>Yes (Go to 20. Focus)</w:t>
            </w:r>
          </w:p>
        </w:tc>
      </w:tr>
      <w:tr w:rsidR="003477A5">
        <w:tc>
          <w:tcPr>
            <w:tcW w:w="426" w:type="dxa"/>
            <w:shd w:val="clear" w:color="auto" w:fill="auto"/>
            <w:tcMar>
              <w:top w:w="0" w:type="dxa"/>
              <w:left w:w="0" w:type="dxa"/>
              <w:bottom w:w="0" w:type="dxa"/>
              <w:right w:w="0" w:type="dxa"/>
            </w:tcMar>
          </w:tcPr>
          <w:p w:rsidR="003477A5" w:rsidRDefault="00A67CBF">
            <w:r>
              <w:rPr>
                <w:rFonts w:ascii="Helvetica" w:hAnsi="Helvetica" w:cs="Helvetica"/>
                <w:color w:val="333333"/>
                <w:sz w:val="21"/>
                <w:szCs w:val="21"/>
              </w:rPr>
              <w:t>  </w:t>
            </w:r>
          </w:p>
        </w:tc>
        <w:tc>
          <w:tcPr>
            <w:tcW w:w="2661" w:type="dxa"/>
            <w:shd w:val="clear" w:color="auto" w:fill="auto"/>
            <w:tcMar>
              <w:top w:w="0" w:type="dxa"/>
              <w:left w:w="0" w:type="dxa"/>
              <w:bottom w:w="0" w:type="dxa"/>
              <w:right w:w="0" w:type="dxa"/>
            </w:tcMar>
            <w:vAlign w:val="center"/>
          </w:tcPr>
          <w:p w:rsidR="003477A5" w:rsidRDefault="00A67CBF">
            <w:pPr>
              <w:rPr>
                <w:rFonts w:ascii="Helvetica" w:hAnsi="Helvetica" w:cs="Helvetica"/>
                <w:color w:val="333333"/>
                <w:sz w:val="21"/>
                <w:szCs w:val="21"/>
              </w:rPr>
            </w:pPr>
            <w:r>
              <w:rPr>
                <w:rFonts w:ascii="Helvetica" w:hAnsi="Helvetica" w:cs="Helvetica"/>
                <w:color w:val="333333"/>
                <w:sz w:val="21"/>
                <w:szCs w:val="21"/>
              </w:rPr>
              <w:t xml:space="preserve">No (Go to 19. New priorities) </w:t>
            </w:r>
          </w:p>
        </w:tc>
      </w:tr>
    </w:tbl>
    <w:p w:rsidR="003477A5" w:rsidRDefault="00A67CBF">
      <w:pPr>
        <w:rPr>
          <w:rFonts w:ascii="Helvetica" w:hAnsi="Helvetica" w:cs="Helvetica"/>
          <w:b/>
          <w:bCs/>
          <w:color w:val="333333"/>
          <w:sz w:val="36"/>
          <w:szCs w:val="36"/>
        </w:rPr>
      </w:pPr>
      <w:r>
        <w:rPr>
          <w:rFonts w:ascii="Helvetica" w:hAnsi="Helvetica" w:cs="Helvetica"/>
          <w:b/>
          <w:bCs/>
          <w:color w:val="333333"/>
          <w:sz w:val="36"/>
          <w:szCs w:val="36"/>
        </w:rPr>
        <w:t xml:space="preserve">19. New priorities </w:t>
      </w:r>
    </w:p>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50. Which priorities would you change or add, and why? </w:t>
      </w:r>
    </w:p>
    <w:p w:rsidR="003477A5" w:rsidRDefault="003477A5">
      <w:pPr>
        <w:rPr>
          <w:rFonts w:ascii="Helvetica" w:hAnsi="Helvetica" w:cs="Helvetica"/>
          <w:color w:val="333333"/>
          <w:sz w:val="21"/>
          <w:szCs w:val="21"/>
        </w:rPr>
      </w:pP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A67CBF">
            <w:pPr>
              <w:spacing w:after="240"/>
              <w:rPr>
                <w:rFonts w:ascii="Helvetica" w:hAnsi="Helvetica" w:cs="Helvetica"/>
                <w:color w:val="333333"/>
                <w:sz w:val="21"/>
                <w:szCs w:val="21"/>
              </w:rPr>
            </w:pPr>
            <w:r>
              <w:rPr>
                <w:rFonts w:ascii="Helvetica" w:hAnsi="Helvetica" w:cs="Helvetica"/>
                <w:color w:val="333333"/>
                <w:sz w:val="21"/>
                <w:szCs w:val="21"/>
              </w:rPr>
              <w:t> </w:t>
            </w:r>
          </w:p>
          <w:p w:rsidR="003477A5" w:rsidRDefault="00A67CBF">
            <w:pPr>
              <w:spacing w:after="240"/>
            </w:pPr>
            <w:r>
              <w:rPr>
                <w:rFonts w:ascii="Helvetica" w:hAnsi="Helvetica" w:cs="Helvetica"/>
                <w:color w:val="333333"/>
                <w:sz w:val="21"/>
                <w:szCs w:val="21"/>
              </w:rPr>
              <w:t>We strongly endorse the direction of thinking reflected in the above priorities.  We also think there is potential for Community Rail Partnerships – appropriately funded – to engage in the management of smaller/unstaffed stations and possibly to engage in developing their facilities (e.g. nurturing of community bus links).  There may be lessons to be drawn from emerging thinking in relation to the regeneration of town centres: recognition of ‘quality of place’ as a driver of change for the good might have a place in defining station development priorities – see:</w:t>
            </w:r>
            <w:r>
              <w:t xml:space="preserve"> </w:t>
            </w:r>
            <w:hyperlink r:id="rId13" w:history="1">
              <w:r>
                <w:rPr>
                  <w:rStyle w:val="Hyperlink"/>
                  <w:rFonts w:ascii="Helvetica" w:hAnsi="Helvetica" w:cs="Helvetica"/>
                  <w:sz w:val="21"/>
                  <w:szCs w:val="21"/>
                </w:rPr>
                <w:t>http://thegreatbritishhighstreet.co.uk/pdf/Successful-Town-Centres.pdf?2</w:t>
              </w:r>
            </w:hyperlink>
            <w:r>
              <w:rPr>
                <w:rFonts w:ascii="Helvetica" w:hAnsi="Helvetica" w:cs="Helvetica"/>
                <w:color w:val="333333"/>
                <w:sz w:val="21"/>
                <w:szCs w:val="21"/>
              </w:rPr>
              <w:t xml:space="preserve">  </w:t>
            </w:r>
            <w:r>
              <w:rPr>
                <w:rFonts w:ascii="Helvetica" w:hAnsi="Helvetica" w:cs="Helvetica"/>
                <w:color w:val="333333"/>
                <w:sz w:val="21"/>
                <w:szCs w:val="21"/>
              </w:rPr>
              <w:br/>
            </w:r>
            <w:r>
              <w:rPr>
                <w:rFonts w:ascii="Helvetica" w:hAnsi="Helvetica" w:cs="Helvetica"/>
                <w:color w:val="333333"/>
                <w:sz w:val="21"/>
                <w:szCs w:val="21"/>
              </w:rPr>
              <w:br/>
            </w:r>
          </w:p>
        </w:tc>
      </w:tr>
    </w:tbl>
    <w:p w:rsidR="003477A5" w:rsidRDefault="003477A5">
      <w:pPr>
        <w:rPr>
          <w:rFonts w:ascii="Helvetica" w:hAnsi="Helvetica" w:cs="Helvetica"/>
          <w:b/>
          <w:bCs/>
          <w:color w:val="333333"/>
          <w:sz w:val="36"/>
          <w:szCs w:val="36"/>
        </w:rPr>
      </w:pPr>
    </w:p>
    <w:p w:rsidR="003477A5" w:rsidRDefault="003477A5">
      <w:pPr>
        <w:rPr>
          <w:rFonts w:ascii="Helvetica" w:hAnsi="Helvetica" w:cs="Helvetica"/>
          <w:b/>
          <w:bCs/>
          <w:color w:val="333333"/>
          <w:sz w:val="36"/>
          <w:szCs w:val="36"/>
        </w:rPr>
      </w:pPr>
    </w:p>
    <w:p w:rsidR="003477A5" w:rsidRDefault="00A67CBF">
      <w:pPr>
        <w:rPr>
          <w:rFonts w:ascii="Helvetica" w:hAnsi="Helvetica" w:cs="Helvetica"/>
          <w:b/>
          <w:bCs/>
          <w:color w:val="333333"/>
          <w:sz w:val="36"/>
          <w:szCs w:val="36"/>
        </w:rPr>
      </w:pPr>
      <w:r>
        <w:rPr>
          <w:rFonts w:ascii="Helvetica" w:hAnsi="Helvetica" w:cs="Helvetica"/>
          <w:b/>
          <w:bCs/>
          <w:color w:val="333333"/>
          <w:sz w:val="36"/>
          <w:szCs w:val="36"/>
        </w:rPr>
        <w:t xml:space="preserve">20. Focus </w:t>
      </w:r>
    </w:p>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51. At which stations do you think co-ordination between transport modes could be improved? </w:t>
      </w:r>
    </w:p>
    <w:p w:rsidR="003477A5" w:rsidRDefault="003477A5">
      <w:pPr>
        <w:rPr>
          <w:rFonts w:ascii="Helvetica" w:hAnsi="Helvetica" w:cs="Helvetica"/>
          <w:color w:val="333333"/>
          <w:sz w:val="21"/>
          <w:szCs w:val="21"/>
        </w:rPr>
      </w:pP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3477A5">
            <w:pPr>
              <w:spacing w:after="240"/>
              <w:rPr>
                <w:rFonts w:ascii="Helvetica" w:hAnsi="Helvetica" w:cs="Helvetica"/>
                <w:color w:val="333333"/>
                <w:sz w:val="21"/>
                <w:szCs w:val="21"/>
              </w:rPr>
            </w:pPr>
          </w:p>
          <w:p w:rsidR="003477A5" w:rsidRDefault="00A67CBF">
            <w:pPr>
              <w:spacing w:after="240"/>
              <w:rPr>
                <w:rFonts w:ascii="Helvetica" w:hAnsi="Helvetica" w:cs="Helvetica"/>
                <w:color w:val="333333"/>
                <w:sz w:val="21"/>
                <w:szCs w:val="21"/>
              </w:rPr>
            </w:pPr>
            <w:r>
              <w:rPr>
                <w:rFonts w:ascii="Helvetica" w:hAnsi="Helvetica" w:cs="Helvetica"/>
                <w:color w:val="333333"/>
                <w:sz w:val="21"/>
                <w:szCs w:val="21"/>
              </w:rPr>
              <w:t xml:space="preserve">Generally throughout the franchise area, and especially at hubs.  Specifically, the main stations where a step-change in improvement is required are: Truro, Plymouth, Exeter St Davids, Taunton, Weston-super-Mare, </w:t>
            </w:r>
            <w:r w:rsidR="00EB2B2E">
              <w:rPr>
                <w:rFonts w:ascii="Helvetica" w:hAnsi="Helvetica" w:cs="Helvetica"/>
                <w:color w:val="333333"/>
                <w:sz w:val="21"/>
                <w:szCs w:val="21"/>
              </w:rPr>
              <w:t xml:space="preserve">Bridgwater, </w:t>
            </w:r>
            <w:r>
              <w:rPr>
                <w:rFonts w:ascii="Helvetica" w:hAnsi="Helvetica" w:cs="Helvetica"/>
                <w:color w:val="333333"/>
                <w:sz w:val="21"/>
                <w:szCs w:val="21"/>
              </w:rPr>
              <w:t>Gloucester, Cheltenham, Westbury, Trowbridge, Dorchester West, and Yeovil Pen Mill.  More generally, there would appear to be a strong case for encouraging potential franchisees to address the development of better integrated timetables at such hubs – both between rail services and with bus services.  We understand that, building on their work on integrated timetabling in Lincolnshire, Atkins has been working with a small group drawn from local authorities, Community Rail, Network Rail and two operators in the south west.  We would ask that the successful franchisee should continue with this type of initiative.</w:t>
            </w:r>
            <w:r>
              <w:rPr>
                <w:rFonts w:ascii="Helvetica" w:hAnsi="Helvetica" w:cs="Helvetica"/>
                <w:color w:val="333333"/>
                <w:sz w:val="21"/>
                <w:szCs w:val="21"/>
              </w:rPr>
              <w:br/>
            </w:r>
          </w:p>
        </w:tc>
      </w:tr>
    </w:tbl>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52. How do you believe these areas could be improved such as through timetabling connections or through physical works at the location? </w:t>
      </w:r>
    </w:p>
    <w:p w:rsidR="003477A5" w:rsidRDefault="003477A5">
      <w:pPr>
        <w:rPr>
          <w:rFonts w:ascii="Helvetica" w:hAnsi="Helvetica" w:cs="Helvetica"/>
          <w:color w:val="333333"/>
          <w:sz w:val="21"/>
          <w:szCs w:val="21"/>
        </w:rPr>
      </w:pP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3477A5">
            <w:pPr>
              <w:pStyle w:val="ListParagraph"/>
              <w:spacing w:after="240"/>
              <w:rPr>
                <w:rFonts w:ascii="Helvetica" w:hAnsi="Helvetica" w:cs="Helvetica"/>
                <w:color w:val="FF0000"/>
                <w:sz w:val="21"/>
                <w:szCs w:val="21"/>
              </w:rPr>
            </w:pPr>
          </w:p>
          <w:p w:rsidR="003477A5" w:rsidRDefault="00A67CBF">
            <w:pPr>
              <w:pStyle w:val="ListParagraph"/>
              <w:numPr>
                <w:ilvl w:val="0"/>
                <w:numId w:val="25"/>
              </w:numPr>
              <w:spacing w:after="240"/>
              <w:rPr>
                <w:rFonts w:ascii="Helvetica" w:hAnsi="Helvetica" w:cs="Helvetica"/>
                <w:color w:val="FF0000"/>
                <w:sz w:val="21"/>
                <w:szCs w:val="21"/>
              </w:rPr>
            </w:pPr>
            <w:r>
              <w:rPr>
                <w:rFonts w:ascii="Helvetica" w:hAnsi="Helvetica" w:cs="Helvetica"/>
                <w:color w:val="FF0000"/>
                <w:sz w:val="21"/>
                <w:szCs w:val="21"/>
              </w:rPr>
              <w:t>The introduction of a clock-face service pattern should facilitate connections with other modes.</w:t>
            </w:r>
          </w:p>
          <w:p w:rsidR="003477A5" w:rsidRDefault="00A67CBF">
            <w:pPr>
              <w:pStyle w:val="ListParagraph"/>
              <w:numPr>
                <w:ilvl w:val="0"/>
                <w:numId w:val="25"/>
              </w:numPr>
              <w:spacing w:after="240"/>
              <w:rPr>
                <w:rFonts w:ascii="Helvetica" w:hAnsi="Helvetica" w:cs="Helvetica"/>
                <w:color w:val="FF0000"/>
                <w:sz w:val="21"/>
                <w:szCs w:val="21"/>
              </w:rPr>
            </w:pPr>
            <w:r>
              <w:rPr>
                <w:rFonts w:ascii="Helvetica" w:hAnsi="Helvetica" w:cs="Helvetica"/>
                <w:color w:val="FF0000"/>
                <w:sz w:val="21"/>
                <w:szCs w:val="21"/>
              </w:rPr>
              <w:t>Provision of clear (real-time) information on connections with other modes (including when things are not going to plan);</w:t>
            </w:r>
          </w:p>
          <w:p w:rsidR="003477A5" w:rsidRDefault="00A67CBF">
            <w:pPr>
              <w:pStyle w:val="ListParagraph"/>
              <w:numPr>
                <w:ilvl w:val="0"/>
                <w:numId w:val="25"/>
              </w:numPr>
              <w:spacing w:after="240"/>
              <w:rPr>
                <w:rFonts w:ascii="Helvetica" w:hAnsi="Helvetica" w:cs="Helvetica"/>
                <w:color w:val="FF0000"/>
                <w:sz w:val="21"/>
                <w:szCs w:val="21"/>
              </w:rPr>
            </w:pPr>
            <w:r>
              <w:rPr>
                <w:rFonts w:ascii="Helvetica" w:hAnsi="Helvetica" w:cs="Helvetica"/>
                <w:color w:val="FF0000"/>
                <w:sz w:val="21"/>
                <w:szCs w:val="21"/>
              </w:rPr>
              <w:t>Weather-proof, lit shelters, adjacent to station (and preferably in view of others).</w:t>
            </w:r>
          </w:p>
        </w:tc>
      </w:tr>
    </w:tbl>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53. What do you believe are examples of best practice elsewhere which could be relevant for stations on the Great Western franchise network? </w:t>
      </w:r>
    </w:p>
    <w:p w:rsidR="003477A5" w:rsidRDefault="003477A5">
      <w:pPr>
        <w:rPr>
          <w:rFonts w:ascii="Helvetica" w:hAnsi="Helvetica" w:cs="Helvetica"/>
          <w:color w:val="333333"/>
          <w:sz w:val="21"/>
          <w:szCs w:val="21"/>
        </w:rPr>
      </w:pP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3477A5">
            <w:pPr>
              <w:spacing w:after="240"/>
              <w:rPr>
                <w:rFonts w:ascii="Helvetica" w:hAnsi="Helvetica" w:cs="Helvetica"/>
                <w:color w:val="333333"/>
                <w:sz w:val="21"/>
                <w:szCs w:val="21"/>
              </w:rPr>
            </w:pPr>
          </w:p>
          <w:p w:rsidR="003477A5" w:rsidRDefault="00A67CBF">
            <w:pPr>
              <w:spacing w:after="240"/>
              <w:rPr>
                <w:rFonts w:ascii="Helvetica" w:hAnsi="Helvetica" w:cs="Helvetica"/>
                <w:color w:val="333333"/>
                <w:sz w:val="21"/>
                <w:szCs w:val="21"/>
              </w:rPr>
            </w:pPr>
            <w:r>
              <w:rPr>
                <w:rFonts w:ascii="Helvetica" w:hAnsi="Helvetica" w:cs="Helvetica"/>
                <w:color w:val="333333"/>
                <w:sz w:val="21"/>
                <w:szCs w:val="21"/>
              </w:rPr>
              <w:t>Continental practice, especially as demonstrated in Switzerland, Germany, Netherlands and Denmark.  (Detailed analogues with different GWR stations can be provided in certain instances.)</w:t>
            </w:r>
            <w:r>
              <w:rPr>
                <w:rFonts w:ascii="Helvetica" w:hAnsi="Helvetica" w:cs="Helvetica"/>
                <w:color w:val="333333"/>
                <w:sz w:val="21"/>
                <w:szCs w:val="21"/>
              </w:rPr>
              <w:br/>
            </w:r>
          </w:p>
        </w:tc>
      </w:tr>
    </w:tbl>
    <w:p w:rsidR="003477A5" w:rsidRDefault="00A67CBF">
      <w:pPr>
        <w:rPr>
          <w:rFonts w:ascii="Helvetica" w:hAnsi="Helvetica" w:cs="Helvetica"/>
          <w:b/>
          <w:bCs/>
          <w:color w:val="333333"/>
          <w:sz w:val="36"/>
          <w:szCs w:val="36"/>
        </w:rPr>
      </w:pPr>
      <w:r>
        <w:rPr>
          <w:rFonts w:ascii="Helvetica" w:hAnsi="Helvetica" w:cs="Helvetica"/>
          <w:b/>
          <w:bCs/>
          <w:color w:val="333333"/>
          <w:sz w:val="36"/>
          <w:szCs w:val="36"/>
        </w:rPr>
        <w:t xml:space="preserve">21. Fares </w:t>
      </w:r>
    </w:p>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rPr>
          <w:rFonts w:ascii="Helvetica" w:hAnsi="Helvetica" w:cs="Helvetica"/>
          <w:bCs/>
          <w:color w:val="333333"/>
          <w:sz w:val="21"/>
          <w:szCs w:val="21"/>
        </w:rPr>
      </w:pPr>
      <w:r>
        <w:rPr>
          <w:rFonts w:ascii="Helvetica" w:hAnsi="Helvetica" w:cs="Helvetica"/>
          <w:bCs/>
          <w:color w:val="333333"/>
          <w:sz w:val="21"/>
          <w:szCs w:val="21"/>
        </w:rPr>
        <w:t xml:space="preserve">Fares-setting on the future Great Western franchise will largely be driven by national fares policy.  At present, approximately 45% of Great Western ticket revenue comes from fares that are regulated, for which individual fare increases are currently capped at inflation, as measured by the Retail Prices Index.  Other aspects of the fares and ticketing regime are also guided by national policy, to maintain consistency across the national network, but the franchise specification could encourage or require the franchisee to: </w:t>
      </w:r>
    </w:p>
    <w:tbl>
      <w:tblPr>
        <w:tblW w:w="9026" w:type="dxa"/>
        <w:tblCellMar>
          <w:left w:w="10" w:type="dxa"/>
          <w:right w:w="10" w:type="dxa"/>
        </w:tblCellMar>
        <w:tblLook w:val="0000" w:firstRow="0" w:lastRow="0" w:firstColumn="0" w:lastColumn="0" w:noHBand="0" w:noVBand="0"/>
      </w:tblPr>
      <w:tblGrid>
        <w:gridCol w:w="9026"/>
      </w:tblGrid>
      <w:tr w:rsidR="003477A5">
        <w:tc>
          <w:tcPr>
            <w:tcW w:w="9026" w:type="dxa"/>
            <w:shd w:val="clear" w:color="auto" w:fill="auto"/>
            <w:tcMar>
              <w:top w:w="0" w:type="dxa"/>
              <w:left w:w="0" w:type="dxa"/>
              <w:bottom w:w="0" w:type="dxa"/>
              <w:right w:w="0" w:type="dxa"/>
            </w:tcMar>
          </w:tcPr>
          <w:p w:rsidR="003477A5" w:rsidRDefault="00A67CBF">
            <w:pPr>
              <w:pStyle w:val="ListParagraph"/>
              <w:numPr>
                <w:ilvl w:val="0"/>
                <w:numId w:val="26"/>
              </w:numPr>
              <w:spacing w:before="300" w:after="300"/>
              <w:rPr>
                <w:rFonts w:ascii="Helvetica" w:hAnsi="Helvetica" w:cs="Helvetica"/>
                <w:color w:val="333333"/>
                <w:sz w:val="21"/>
                <w:szCs w:val="21"/>
              </w:rPr>
            </w:pPr>
            <w:r>
              <w:rPr>
                <w:rFonts w:ascii="Helvetica" w:hAnsi="Helvetica" w:cs="Helvetica"/>
                <w:color w:val="333333"/>
                <w:sz w:val="21"/>
                <w:szCs w:val="21"/>
              </w:rPr>
              <w:t>develop and promote the use of smart cards, contactless payment cards and mobile ticketing, and the range of tickets available by these means</w:t>
            </w:r>
          </w:p>
        </w:tc>
      </w:tr>
      <w:tr w:rsidR="003477A5">
        <w:tc>
          <w:tcPr>
            <w:tcW w:w="9026" w:type="dxa"/>
            <w:shd w:val="clear" w:color="auto" w:fill="auto"/>
            <w:tcMar>
              <w:top w:w="0" w:type="dxa"/>
              <w:left w:w="0" w:type="dxa"/>
              <w:bottom w:w="0" w:type="dxa"/>
              <w:right w:w="0" w:type="dxa"/>
            </w:tcMar>
          </w:tcPr>
          <w:p w:rsidR="003477A5" w:rsidRDefault="00A67CBF">
            <w:pPr>
              <w:pStyle w:val="ListParagraph"/>
              <w:numPr>
                <w:ilvl w:val="0"/>
                <w:numId w:val="26"/>
              </w:numPr>
              <w:spacing w:before="300" w:after="300"/>
              <w:rPr>
                <w:rFonts w:ascii="Helvetica" w:hAnsi="Helvetica" w:cs="Helvetica"/>
                <w:color w:val="333333"/>
                <w:sz w:val="21"/>
                <w:szCs w:val="21"/>
              </w:rPr>
            </w:pPr>
            <w:r>
              <w:rPr>
                <w:rFonts w:ascii="Helvetica" w:hAnsi="Helvetica" w:cs="Helvetica"/>
                <w:color w:val="333333"/>
                <w:sz w:val="21"/>
                <w:szCs w:val="21"/>
              </w:rPr>
              <w:t>develop a wider range of tickets integrated with local buses and other modes, including co-operation with local authority smartcard schemes</w:t>
            </w:r>
          </w:p>
        </w:tc>
      </w:tr>
      <w:tr w:rsidR="003477A5">
        <w:tc>
          <w:tcPr>
            <w:tcW w:w="9026" w:type="dxa"/>
            <w:shd w:val="clear" w:color="auto" w:fill="auto"/>
            <w:tcMar>
              <w:top w:w="0" w:type="dxa"/>
              <w:left w:w="0" w:type="dxa"/>
              <w:bottom w:w="0" w:type="dxa"/>
              <w:right w:w="0" w:type="dxa"/>
            </w:tcMar>
          </w:tcPr>
          <w:p w:rsidR="003477A5" w:rsidRDefault="00A67CBF">
            <w:pPr>
              <w:pStyle w:val="ListParagraph"/>
              <w:numPr>
                <w:ilvl w:val="0"/>
                <w:numId w:val="26"/>
              </w:numPr>
              <w:spacing w:before="300" w:after="300"/>
              <w:rPr>
                <w:rFonts w:ascii="Helvetica" w:hAnsi="Helvetica" w:cs="Helvetica"/>
                <w:color w:val="333333"/>
                <w:sz w:val="21"/>
                <w:szCs w:val="21"/>
              </w:rPr>
            </w:pPr>
            <w:r>
              <w:rPr>
                <w:rFonts w:ascii="Helvetica" w:hAnsi="Helvetica" w:cs="Helvetica"/>
                <w:color w:val="333333"/>
                <w:sz w:val="21"/>
                <w:szCs w:val="21"/>
              </w:rPr>
              <w:t>provide more ticket vending machines and ensure that  these will offer the full range of fares available, in particular making these easier to use and making it easy to understand which is the most appropriate fare for the journey being made</w:t>
            </w:r>
          </w:p>
        </w:tc>
      </w:tr>
      <w:tr w:rsidR="003477A5">
        <w:tc>
          <w:tcPr>
            <w:tcW w:w="9026" w:type="dxa"/>
            <w:shd w:val="clear" w:color="auto" w:fill="auto"/>
            <w:tcMar>
              <w:top w:w="0" w:type="dxa"/>
              <w:left w:w="0" w:type="dxa"/>
              <w:bottom w:w="0" w:type="dxa"/>
              <w:right w:w="0" w:type="dxa"/>
            </w:tcMar>
          </w:tcPr>
          <w:p w:rsidR="003477A5" w:rsidRDefault="00A67CBF">
            <w:pPr>
              <w:pStyle w:val="ListParagraph"/>
              <w:numPr>
                <w:ilvl w:val="0"/>
                <w:numId w:val="26"/>
              </w:numPr>
              <w:spacing w:before="300" w:after="300"/>
              <w:rPr>
                <w:rFonts w:ascii="Helvetica" w:hAnsi="Helvetica" w:cs="Helvetica"/>
                <w:color w:val="333333"/>
                <w:sz w:val="21"/>
                <w:szCs w:val="21"/>
              </w:rPr>
            </w:pPr>
            <w:r>
              <w:rPr>
                <w:rFonts w:ascii="Helvetica" w:hAnsi="Helvetica" w:cs="Helvetica"/>
                <w:color w:val="333333"/>
                <w:sz w:val="21"/>
                <w:szCs w:val="21"/>
              </w:rPr>
              <w:t>address any anomalies in current fares arrangements, e.g. where fares on some routes might, for historical reasons, be being set by an operator who does not operate those routes, or are based on historical splits between different service groups</w:t>
            </w:r>
          </w:p>
        </w:tc>
      </w:tr>
      <w:tr w:rsidR="003477A5">
        <w:tc>
          <w:tcPr>
            <w:tcW w:w="9026" w:type="dxa"/>
            <w:shd w:val="clear" w:color="auto" w:fill="auto"/>
            <w:tcMar>
              <w:top w:w="0" w:type="dxa"/>
              <w:left w:w="0" w:type="dxa"/>
              <w:bottom w:w="0" w:type="dxa"/>
              <w:right w:w="0" w:type="dxa"/>
            </w:tcMar>
          </w:tcPr>
          <w:p w:rsidR="003477A5" w:rsidRDefault="00A67CBF">
            <w:pPr>
              <w:pStyle w:val="ListParagraph"/>
              <w:numPr>
                <w:ilvl w:val="0"/>
                <w:numId w:val="26"/>
              </w:numPr>
              <w:spacing w:before="300" w:after="300"/>
              <w:rPr>
                <w:rFonts w:ascii="Helvetica" w:hAnsi="Helvetica" w:cs="Helvetica"/>
                <w:color w:val="333333"/>
                <w:sz w:val="21"/>
                <w:szCs w:val="21"/>
              </w:rPr>
            </w:pPr>
            <w:r>
              <w:rPr>
                <w:rFonts w:ascii="Helvetica" w:hAnsi="Helvetica" w:cs="Helvetica"/>
                <w:color w:val="333333"/>
                <w:sz w:val="21"/>
                <w:szCs w:val="21"/>
              </w:rPr>
              <w:t>promote a wider range of local tourist attractions, e.g. through joint marketing and joint ticketing arrangements</w:t>
            </w:r>
            <w:r>
              <w:rPr>
                <w:rFonts w:ascii="Helvetica" w:hAnsi="Helvetica" w:cs="Helvetica"/>
                <w:color w:val="333333"/>
                <w:sz w:val="21"/>
                <w:szCs w:val="21"/>
              </w:rPr>
              <w:br/>
              <w:t> </w:t>
            </w:r>
          </w:p>
        </w:tc>
      </w:tr>
    </w:tbl>
    <w:p w:rsidR="003477A5" w:rsidRDefault="003477A5">
      <w:pPr>
        <w:rPr>
          <w:rFonts w:ascii="Helvetica" w:hAnsi="Helvetica" w:cs="Helvetica"/>
          <w:color w:val="333333"/>
          <w:sz w:val="21"/>
          <w:szCs w:val="21"/>
        </w:rPr>
      </w:pP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54. Do you agree or disagree with the priorities for: </w:t>
      </w:r>
    </w:p>
    <w:p w:rsidR="003477A5" w:rsidRDefault="003477A5">
      <w:pPr>
        <w:rPr>
          <w:rFonts w:ascii="Helvetica" w:hAnsi="Helvetica" w:cs="Helvetica"/>
          <w:color w:val="333333"/>
          <w:sz w:val="21"/>
          <w:szCs w:val="21"/>
        </w:rPr>
      </w:pPr>
    </w:p>
    <w:tbl>
      <w:tblPr>
        <w:tblW w:w="4440" w:type="dxa"/>
        <w:tblCellMar>
          <w:left w:w="10" w:type="dxa"/>
          <w:right w:w="10" w:type="dxa"/>
        </w:tblCellMar>
        <w:tblLook w:val="0000" w:firstRow="0" w:lastRow="0" w:firstColumn="0" w:lastColumn="0" w:noHBand="0" w:noVBand="0"/>
      </w:tblPr>
      <w:tblGrid>
        <w:gridCol w:w="1200"/>
        <w:gridCol w:w="1620"/>
        <w:gridCol w:w="1620"/>
      </w:tblGrid>
      <w:tr w:rsidR="003477A5">
        <w:trPr>
          <w:tblHeader/>
        </w:trPr>
        <w:tc>
          <w:tcPr>
            <w:tcW w:w="1200" w:type="dxa"/>
            <w:shd w:val="clear" w:color="auto" w:fill="auto"/>
            <w:tcMar>
              <w:top w:w="0" w:type="dxa"/>
              <w:left w:w="0" w:type="dxa"/>
              <w:bottom w:w="0" w:type="dxa"/>
              <w:right w:w="0" w:type="dxa"/>
            </w:tcMar>
            <w:vAlign w:val="center"/>
          </w:tcPr>
          <w:p w:rsidR="003477A5" w:rsidRDefault="003477A5">
            <w:pPr>
              <w:rPr>
                <w:rFonts w:ascii="Helvetica" w:hAnsi="Helvetica" w:cs="Helvetica"/>
                <w:color w:val="333333"/>
                <w:sz w:val="21"/>
                <w:szCs w:val="21"/>
              </w:rPr>
            </w:pPr>
          </w:p>
        </w:tc>
        <w:tc>
          <w:tcPr>
            <w:tcW w:w="1620" w:type="dxa"/>
            <w:shd w:val="clear" w:color="auto" w:fill="auto"/>
            <w:tcMar>
              <w:top w:w="0" w:type="dxa"/>
              <w:left w:w="0" w:type="dxa"/>
              <w:bottom w:w="0" w:type="dxa"/>
              <w:right w:w="0" w:type="dxa"/>
            </w:tcMar>
            <w:vAlign w:val="center"/>
          </w:tcPr>
          <w:p w:rsidR="003477A5" w:rsidRDefault="00A67CBF">
            <w:pPr>
              <w:jc w:val="center"/>
            </w:pPr>
            <w:r>
              <w:rPr>
                <w:rStyle w:val="ss-col-title"/>
                <w:rFonts w:ascii="Helvetica" w:hAnsi="Helvetica" w:cs="Helvetica"/>
                <w:color w:val="333333"/>
                <w:sz w:val="21"/>
                <w:szCs w:val="21"/>
              </w:rPr>
              <w:t>Agree</w:t>
            </w:r>
          </w:p>
        </w:tc>
        <w:tc>
          <w:tcPr>
            <w:tcW w:w="1620" w:type="dxa"/>
            <w:shd w:val="clear" w:color="auto" w:fill="auto"/>
            <w:tcMar>
              <w:top w:w="0" w:type="dxa"/>
              <w:left w:w="0" w:type="dxa"/>
              <w:bottom w:w="0" w:type="dxa"/>
              <w:right w:w="0" w:type="dxa"/>
            </w:tcMar>
            <w:vAlign w:val="center"/>
          </w:tcPr>
          <w:p w:rsidR="003477A5" w:rsidRDefault="00A67CBF">
            <w:pPr>
              <w:jc w:val="center"/>
            </w:pPr>
            <w:r>
              <w:rPr>
                <w:rStyle w:val="ss-col-title"/>
                <w:rFonts w:ascii="Helvetica" w:hAnsi="Helvetica" w:cs="Helvetica"/>
                <w:color w:val="333333"/>
                <w:sz w:val="21"/>
                <w:szCs w:val="21"/>
              </w:rPr>
              <w:t>Disagree</w:t>
            </w:r>
          </w:p>
        </w:tc>
      </w:tr>
      <w:tr w:rsidR="003477A5">
        <w:tc>
          <w:tcPr>
            <w:tcW w:w="1200" w:type="dxa"/>
            <w:shd w:val="clear" w:color="auto" w:fill="auto"/>
            <w:tcMar>
              <w:top w:w="0" w:type="dxa"/>
              <w:left w:w="0" w:type="dxa"/>
              <w:bottom w:w="0" w:type="dxa"/>
              <w:right w:w="0" w:type="dxa"/>
            </w:tcMar>
            <w:vAlign w:val="center"/>
          </w:tcPr>
          <w:p w:rsidR="003477A5" w:rsidRDefault="00A67CBF">
            <w:pPr>
              <w:rPr>
                <w:rFonts w:ascii="Helvetica" w:hAnsi="Helvetica" w:cs="Helvetica"/>
                <w:color w:val="333333"/>
                <w:sz w:val="21"/>
                <w:szCs w:val="21"/>
              </w:rPr>
            </w:pPr>
            <w:r>
              <w:rPr>
                <w:rFonts w:ascii="Helvetica" w:hAnsi="Helvetica" w:cs="Helvetica"/>
                <w:color w:val="333333"/>
                <w:sz w:val="21"/>
                <w:szCs w:val="21"/>
              </w:rPr>
              <w:t>fares?</w:t>
            </w:r>
          </w:p>
        </w:tc>
        <w:tc>
          <w:tcPr>
            <w:tcW w:w="1620" w:type="dxa"/>
            <w:shd w:val="clear" w:color="auto" w:fill="auto"/>
            <w:tcMar>
              <w:top w:w="0" w:type="dxa"/>
              <w:left w:w="0" w:type="dxa"/>
              <w:bottom w:w="0" w:type="dxa"/>
              <w:right w:w="0" w:type="dxa"/>
            </w:tcMar>
            <w:vAlign w:val="center"/>
          </w:tcPr>
          <w:p w:rsidR="003477A5" w:rsidRDefault="00A67CBF">
            <w:pPr>
              <w:jc w:val="center"/>
            </w:pPr>
            <w:r>
              <w:rPr>
                <w:rFonts w:ascii="Helvetica" w:hAnsi="Helvetica" w:cs="Helvetica"/>
                <w:color w:val="333333"/>
                <w:sz w:val="21"/>
                <w:szCs w:val="21"/>
              </w:rPr>
              <w:t>X  </w:t>
            </w:r>
          </w:p>
        </w:tc>
        <w:tc>
          <w:tcPr>
            <w:tcW w:w="1620" w:type="dxa"/>
            <w:shd w:val="clear" w:color="auto" w:fill="auto"/>
            <w:tcMar>
              <w:top w:w="0" w:type="dxa"/>
              <w:left w:w="0" w:type="dxa"/>
              <w:bottom w:w="0" w:type="dxa"/>
              <w:right w:w="0" w:type="dxa"/>
            </w:tcMar>
            <w:vAlign w:val="center"/>
          </w:tcPr>
          <w:p w:rsidR="003477A5" w:rsidRDefault="00A67CBF">
            <w:pPr>
              <w:jc w:val="center"/>
            </w:pPr>
            <w:r>
              <w:rPr>
                <w:rFonts w:ascii="Helvetica" w:hAnsi="Helvetica" w:cs="Helvetica"/>
                <w:noProof/>
                <w:color w:val="333333"/>
                <w:sz w:val="21"/>
                <w:szCs w:val="21"/>
              </w:rPr>
              <w:drawing>
                <wp:inline distT="0" distB="0" distL="0" distR="0">
                  <wp:extent cx="196211" cy="196211"/>
                  <wp:effectExtent l="0" t="0" r="0" b="0"/>
                  <wp:docPr id="7" name="Picture 37" descr="https://app.smartsurvey.co.uk/images/ico/print/checkbox.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rcRect/>
                          <a:stretch>
                            <a:fillRect/>
                          </a:stretch>
                        </pic:blipFill>
                        <pic:spPr>
                          <a:xfrm>
                            <a:off x="0" y="0"/>
                            <a:ext cx="196211" cy="196211"/>
                          </a:xfrm>
                          <a:prstGeom prst="rect">
                            <a:avLst/>
                          </a:prstGeom>
                          <a:noFill/>
                          <a:ln>
                            <a:noFill/>
                            <a:prstDash/>
                          </a:ln>
                        </pic:spPr>
                      </pic:pic>
                    </a:graphicData>
                  </a:graphic>
                </wp:inline>
              </w:drawing>
            </w:r>
            <w:r>
              <w:rPr>
                <w:rFonts w:ascii="Helvetica" w:hAnsi="Helvetica" w:cs="Helvetica"/>
                <w:color w:val="333333"/>
                <w:sz w:val="21"/>
                <w:szCs w:val="21"/>
              </w:rPr>
              <w:t>  </w:t>
            </w:r>
          </w:p>
        </w:tc>
      </w:tr>
      <w:tr w:rsidR="003477A5">
        <w:tc>
          <w:tcPr>
            <w:tcW w:w="1200" w:type="dxa"/>
            <w:shd w:val="clear" w:color="auto" w:fill="auto"/>
            <w:tcMar>
              <w:top w:w="0" w:type="dxa"/>
              <w:left w:w="0" w:type="dxa"/>
              <w:bottom w:w="0" w:type="dxa"/>
              <w:right w:w="0" w:type="dxa"/>
            </w:tcMar>
            <w:vAlign w:val="center"/>
          </w:tcPr>
          <w:p w:rsidR="003477A5" w:rsidRDefault="00A67CBF">
            <w:pPr>
              <w:rPr>
                <w:rFonts w:ascii="Helvetica" w:hAnsi="Helvetica" w:cs="Helvetica"/>
                <w:color w:val="333333"/>
                <w:sz w:val="21"/>
                <w:szCs w:val="21"/>
              </w:rPr>
            </w:pPr>
            <w:r>
              <w:rPr>
                <w:rFonts w:ascii="Helvetica" w:hAnsi="Helvetica" w:cs="Helvetica"/>
                <w:color w:val="333333"/>
                <w:sz w:val="21"/>
                <w:szCs w:val="21"/>
              </w:rPr>
              <w:t>ticketing?</w:t>
            </w:r>
          </w:p>
        </w:tc>
        <w:tc>
          <w:tcPr>
            <w:tcW w:w="1620" w:type="dxa"/>
            <w:shd w:val="clear" w:color="auto" w:fill="auto"/>
            <w:tcMar>
              <w:top w:w="0" w:type="dxa"/>
              <w:left w:w="0" w:type="dxa"/>
              <w:bottom w:w="0" w:type="dxa"/>
              <w:right w:w="0" w:type="dxa"/>
            </w:tcMar>
            <w:vAlign w:val="center"/>
          </w:tcPr>
          <w:p w:rsidR="003477A5" w:rsidRDefault="00A67CBF">
            <w:pPr>
              <w:jc w:val="center"/>
            </w:pPr>
            <w:r>
              <w:rPr>
                <w:rFonts w:ascii="Helvetica" w:hAnsi="Helvetica" w:cs="Helvetica"/>
                <w:color w:val="333333"/>
                <w:sz w:val="21"/>
                <w:szCs w:val="21"/>
              </w:rPr>
              <w:t>X  </w:t>
            </w:r>
          </w:p>
        </w:tc>
        <w:tc>
          <w:tcPr>
            <w:tcW w:w="1620" w:type="dxa"/>
            <w:shd w:val="clear" w:color="auto" w:fill="auto"/>
            <w:tcMar>
              <w:top w:w="0" w:type="dxa"/>
              <w:left w:w="0" w:type="dxa"/>
              <w:bottom w:w="0" w:type="dxa"/>
              <w:right w:w="0" w:type="dxa"/>
            </w:tcMar>
            <w:vAlign w:val="center"/>
          </w:tcPr>
          <w:p w:rsidR="003477A5" w:rsidRDefault="00A67CBF">
            <w:pPr>
              <w:jc w:val="center"/>
            </w:pPr>
            <w:r>
              <w:rPr>
                <w:rFonts w:ascii="Helvetica" w:hAnsi="Helvetica" w:cs="Helvetica"/>
                <w:noProof/>
                <w:color w:val="333333"/>
                <w:sz w:val="21"/>
                <w:szCs w:val="21"/>
              </w:rPr>
              <w:drawing>
                <wp:inline distT="0" distB="0" distL="0" distR="0">
                  <wp:extent cx="196211" cy="196211"/>
                  <wp:effectExtent l="0" t="0" r="0" b="0"/>
                  <wp:docPr id="8" name="Picture 39" descr="https://app.smartsurvey.co.uk/images/ico/print/checkbox.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rcRect/>
                          <a:stretch>
                            <a:fillRect/>
                          </a:stretch>
                        </pic:blipFill>
                        <pic:spPr>
                          <a:xfrm>
                            <a:off x="0" y="0"/>
                            <a:ext cx="196211" cy="196211"/>
                          </a:xfrm>
                          <a:prstGeom prst="rect">
                            <a:avLst/>
                          </a:prstGeom>
                          <a:noFill/>
                          <a:ln>
                            <a:noFill/>
                            <a:prstDash/>
                          </a:ln>
                        </pic:spPr>
                      </pic:pic>
                    </a:graphicData>
                  </a:graphic>
                </wp:inline>
              </w:drawing>
            </w:r>
            <w:r>
              <w:rPr>
                <w:rFonts w:ascii="Helvetica" w:hAnsi="Helvetica" w:cs="Helvetica"/>
                <w:color w:val="333333"/>
                <w:sz w:val="21"/>
                <w:szCs w:val="21"/>
              </w:rPr>
              <w:t>  </w:t>
            </w:r>
          </w:p>
        </w:tc>
      </w:tr>
    </w:tbl>
    <w:p w:rsidR="003477A5" w:rsidRDefault="003477A5">
      <w:pPr>
        <w:rPr>
          <w:rFonts w:ascii="Helvetica" w:hAnsi="Helvetica" w:cs="Helvetica"/>
          <w:color w:val="333333"/>
          <w:sz w:val="21"/>
          <w:szCs w:val="21"/>
        </w:rPr>
      </w:pPr>
    </w:p>
    <w:p w:rsidR="003477A5" w:rsidRDefault="00A67CBF">
      <w:pPr>
        <w:rPr>
          <w:rFonts w:ascii="Helvetica" w:hAnsi="Helvetica" w:cs="Helvetica"/>
          <w:color w:val="333333"/>
          <w:sz w:val="21"/>
          <w:szCs w:val="21"/>
        </w:rPr>
      </w:pPr>
      <w:r>
        <w:rPr>
          <w:rFonts w:ascii="Helvetica" w:hAnsi="Helvetica" w:cs="Helvetica"/>
          <w:color w:val="333333"/>
          <w:sz w:val="21"/>
          <w:szCs w:val="21"/>
        </w:rPr>
        <w:t>Which priorities would you change or add, and why?  </w:t>
      </w: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A67CBF">
            <w:pPr>
              <w:spacing w:after="240"/>
              <w:rPr>
                <w:rFonts w:ascii="Helvetica" w:hAnsi="Helvetica" w:cs="Helvetica"/>
                <w:color w:val="333333"/>
                <w:sz w:val="21"/>
                <w:szCs w:val="21"/>
              </w:rPr>
            </w:pPr>
            <w:r>
              <w:rPr>
                <w:rFonts w:ascii="Helvetica" w:hAnsi="Helvetica" w:cs="Helvetica"/>
                <w:color w:val="333333"/>
                <w:sz w:val="21"/>
                <w:szCs w:val="21"/>
              </w:rPr>
              <w:br/>
            </w:r>
            <w:r>
              <w:rPr>
                <w:rFonts w:ascii="Helvetica" w:hAnsi="Helvetica" w:cs="Helvetica"/>
                <w:color w:val="333333"/>
                <w:sz w:val="21"/>
                <w:szCs w:val="21"/>
              </w:rPr>
              <w:br/>
            </w:r>
          </w:p>
        </w:tc>
      </w:tr>
    </w:tbl>
    <w:p w:rsidR="003477A5" w:rsidRDefault="00A67CBF">
      <w:pPr>
        <w:rPr>
          <w:rFonts w:ascii="Helvetica" w:hAnsi="Helvetica" w:cs="Helvetica"/>
          <w:b/>
          <w:bCs/>
          <w:color w:val="333333"/>
          <w:sz w:val="36"/>
          <w:szCs w:val="36"/>
        </w:rPr>
      </w:pPr>
      <w:r>
        <w:rPr>
          <w:rFonts w:ascii="Helvetica" w:hAnsi="Helvetica" w:cs="Helvetica"/>
          <w:b/>
          <w:bCs/>
          <w:color w:val="333333"/>
          <w:sz w:val="36"/>
          <w:szCs w:val="36"/>
        </w:rPr>
        <w:t xml:space="preserve">22. Fares </w:t>
      </w:r>
    </w:p>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55. What changes to the fares structure could be of benefit to you? </w:t>
      </w:r>
    </w:p>
    <w:p w:rsidR="003477A5" w:rsidRDefault="003477A5">
      <w:pPr>
        <w:rPr>
          <w:rFonts w:ascii="Helvetica" w:hAnsi="Helvetica" w:cs="Helvetica"/>
          <w:color w:val="333333"/>
          <w:sz w:val="21"/>
          <w:szCs w:val="21"/>
        </w:rPr>
      </w:pP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A67CBF">
            <w:pPr>
              <w:pStyle w:val="ListParagraph"/>
              <w:numPr>
                <w:ilvl w:val="0"/>
                <w:numId w:val="27"/>
              </w:numPr>
              <w:spacing w:after="240"/>
            </w:pPr>
            <w:r>
              <w:rPr>
                <w:rFonts w:ascii="Helvetica" w:hAnsi="Helvetica" w:cs="Helvetica"/>
                <w:color w:val="333333"/>
                <w:sz w:val="21"/>
                <w:szCs w:val="21"/>
              </w:rPr>
              <w:t xml:space="preserve">With the decline in the number of 5-days-a-week in the office type jobs and the growth in home working there is an ever-growing case for some sort of discounted </w:t>
            </w:r>
            <w:r>
              <w:rPr>
                <w:rFonts w:ascii="Helvetica" w:hAnsi="Helvetica" w:cs="Helvetica"/>
                <w:i/>
                <w:color w:val="333333"/>
                <w:sz w:val="21"/>
                <w:szCs w:val="21"/>
              </w:rPr>
              <w:t>carnet</w:t>
            </w:r>
            <w:r>
              <w:rPr>
                <w:rFonts w:ascii="Helvetica" w:hAnsi="Helvetica" w:cs="Helvetica"/>
                <w:color w:val="333333"/>
                <w:sz w:val="21"/>
                <w:szCs w:val="21"/>
              </w:rPr>
              <w:t xml:space="preserve"> type fare.</w:t>
            </w:r>
          </w:p>
          <w:p w:rsidR="003477A5" w:rsidRDefault="00A67CBF">
            <w:pPr>
              <w:pStyle w:val="ListParagraph"/>
              <w:numPr>
                <w:ilvl w:val="0"/>
                <w:numId w:val="27"/>
              </w:numPr>
              <w:spacing w:after="240"/>
              <w:rPr>
                <w:rFonts w:ascii="Helvetica" w:hAnsi="Helvetica" w:cs="Helvetica"/>
                <w:color w:val="333333"/>
                <w:sz w:val="21"/>
                <w:szCs w:val="21"/>
              </w:rPr>
            </w:pPr>
            <w:r>
              <w:rPr>
                <w:rFonts w:ascii="Helvetica" w:hAnsi="Helvetica" w:cs="Helvetica"/>
                <w:color w:val="333333"/>
                <w:sz w:val="21"/>
                <w:szCs w:val="21"/>
              </w:rPr>
              <w:t>We consider that franchisees could be more innovative in developing fares’ products that incentivise passengers to avoid major conurbations at peak times when making trips involving two or more franchises – e.g. Gloucester-Petersfield via Reading and Guildford.</w:t>
            </w:r>
          </w:p>
          <w:p w:rsidR="003477A5" w:rsidRDefault="00A67CBF">
            <w:pPr>
              <w:pStyle w:val="ListParagraph"/>
              <w:numPr>
                <w:ilvl w:val="0"/>
                <w:numId w:val="27"/>
              </w:numPr>
              <w:spacing w:after="240"/>
              <w:rPr>
                <w:rFonts w:ascii="Helvetica" w:hAnsi="Helvetica" w:cs="Helvetica"/>
                <w:color w:val="333333"/>
                <w:sz w:val="21"/>
                <w:szCs w:val="21"/>
              </w:rPr>
            </w:pPr>
            <w:r>
              <w:rPr>
                <w:rFonts w:ascii="Helvetica" w:hAnsi="Helvetica" w:cs="Helvetica"/>
                <w:color w:val="333333"/>
                <w:sz w:val="21"/>
                <w:szCs w:val="21"/>
              </w:rPr>
              <w:t>TravelWatch SouthWest has received representations from passengers, particularly those eligible for Young Persons’ Railcards, pointing out the barrier to their use caused by the £12 minimum fare applicable to all travel starting between 0430 and 1000 during the working week, excluding Advance Fares.  We see this as incompatible with the Government’s stance in encouraging young people into education and training and in its attempts to reduce the number of road deaths and injuries amongst this particularly vulnerable age group. 17-24 year olds are more at risk of being killed on the road in most countries than the average person.  According to the Transport Research Laboratory, this difference in risk per head is proportionately larger in Britain than most other European states even though UK road accident rates overall are amongst the lowest in Europe.</w:t>
            </w:r>
          </w:p>
          <w:p w:rsidR="003477A5" w:rsidRDefault="00A67CBF">
            <w:pPr>
              <w:pStyle w:val="ListParagraph"/>
              <w:numPr>
                <w:ilvl w:val="0"/>
                <w:numId w:val="27"/>
              </w:numPr>
              <w:spacing w:after="240"/>
              <w:rPr>
                <w:rFonts w:ascii="Helvetica" w:hAnsi="Helvetica" w:cs="Helvetica"/>
                <w:color w:val="333333"/>
                <w:sz w:val="21"/>
                <w:szCs w:val="21"/>
              </w:rPr>
            </w:pPr>
            <w:r>
              <w:rPr>
                <w:rFonts w:ascii="Helvetica" w:hAnsi="Helvetica" w:cs="Helvetica"/>
                <w:color w:val="333333"/>
                <w:sz w:val="21"/>
                <w:szCs w:val="21"/>
              </w:rPr>
              <w:t>We would like to see encouragement for through ticketing involving other transport modes.  For example, a goal might be for each settlement served by a bus connecting with a rail station, with a population above a certain size (say 5,000 inhabitants) or with sufficient tourist numbers, to have provision in the National Fares Manual for through rail/bus tickets, the journey being included in journey planners and routing guides so that  trip planning, permitted routing and fares would be as for a rail-only journey with compatible conditions of carriage applicable.  We consider that this is likely to reflect the way in which Mobility as a Service is developing.</w:t>
            </w:r>
          </w:p>
          <w:p w:rsidR="003477A5" w:rsidRDefault="00A67CBF">
            <w:pPr>
              <w:pStyle w:val="ListParagraph"/>
              <w:numPr>
                <w:ilvl w:val="0"/>
                <w:numId w:val="27"/>
              </w:numPr>
              <w:spacing w:after="240"/>
              <w:rPr>
                <w:rFonts w:ascii="Helvetica" w:hAnsi="Helvetica" w:cs="Helvetica"/>
                <w:color w:val="333333"/>
                <w:sz w:val="21"/>
                <w:szCs w:val="21"/>
              </w:rPr>
            </w:pPr>
            <w:r>
              <w:rPr>
                <w:rFonts w:ascii="Helvetica" w:hAnsi="Helvetica" w:cs="Helvetica"/>
                <w:color w:val="333333"/>
                <w:sz w:val="21"/>
                <w:szCs w:val="21"/>
              </w:rPr>
              <w:t>There may be scope to incentivise Community Rail Partnerships to develop Community Rail Hosts at otherwise unstaffed stations on CRP routes.  Unstaffed stations can scare some passengers away: a welcoming and knowledgeable approved volunteer host might be able to provide the travel information (fares’ advice and information of connections) and support that translates into a good journey experience.  Stations such as Freshford, Melksham, Dilton Marsh and Dean, with the support of the local Community Rail Partnerships, might prove useful tests of the concept.</w:t>
            </w:r>
            <w:r>
              <w:rPr>
                <w:rFonts w:ascii="Helvetica" w:hAnsi="Helvetica" w:cs="Helvetica"/>
                <w:color w:val="333333"/>
                <w:sz w:val="21"/>
                <w:szCs w:val="21"/>
              </w:rPr>
              <w:br/>
            </w:r>
          </w:p>
        </w:tc>
      </w:tr>
    </w:tbl>
    <w:p w:rsidR="003477A5" w:rsidRDefault="00A67CBF">
      <w:pPr>
        <w:rPr>
          <w:rFonts w:ascii="Helvetica" w:hAnsi="Helvetica" w:cs="Helvetica"/>
          <w:b/>
          <w:bCs/>
          <w:color w:val="333333"/>
          <w:sz w:val="36"/>
          <w:szCs w:val="36"/>
        </w:rPr>
      </w:pPr>
      <w:r>
        <w:rPr>
          <w:rFonts w:ascii="Helvetica" w:hAnsi="Helvetica" w:cs="Helvetica"/>
          <w:b/>
          <w:bCs/>
          <w:color w:val="333333"/>
          <w:sz w:val="36"/>
          <w:szCs w:val="36"/>
        </w:rPr>
        <w:t xml:space="preserve">23. Community rail </w:t>
      </w:r>
    </w:p>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rPr>
          <w:rFonts w:ascii="Helvetica" w:hAnsi="Helvetica" w:cs="Helvetica"/>
          <w:bCs/>
          <w:color w:val="333333"/>
          <w:sz w:val="21"/>
          <w:szCs w:val="21"/>
        </w:rPr>
      </w:pPr>
      <w:r>
        <w:rPr>
          <w:rFonts w:ascii="Helvetica" w:hAnsi="Helvetica" w:cs="Helvetica"/>
          <w:bCs/>
          <w:color w:val="333333"/>
          <w:sz w:val="21"/>
          <w:szCs w:val="21"/>
        </w:rPr>
        <w:t>There are a number of Community Rail lines on the Great Western franchise, with some routes showing significant increases in passenger numbers following improvements to services promoted by the relevant Community Rail Partnership (CRP).</w:t>
      </w:r>
      <w:r>
        <w:rPr>
          <w:rFonts w:ascii="Helvetica" w:hAnsi="Helvetica" w:cs="Helvetica"/>
          <w:bCs/>
          <w:color w:val="333333"/>
          <w:sz w:val="21"/>
          <w:szCs w:val="21"/>
        </w:rPr>
        <w:br/>
      </w:r>
      <w:r>
        <w:rPr>
          <w:rFonts w:ascii="Helvetica" w:hAnsi="Helvetica" w:cs="Helvetica"/>
          <w:bCs/>
          <w:color w:val="333333"/>
          <w:sz w:val="21"/>
          <w:szCs w:val="21"/>
        </w:rPr>
        <w:br/>
        <w:t>The current franchisee has provided active support for these Community Rail lines, eg by providing direct funding and additional funds for specific projects through the Customer &amp; Communities Improvement Fund. The current franchisee also employs a full-time member of staff to work with the CRPs in the franchise area.</w:t>
      </w:r>
      <w:r>
        <w:rPr>
          <w:rFonts w:ascii="Helvetica" w:hAnsi="Helvetica" w:cs="Helvetica"/>
          <w:bCs/>
          <w:color w:val="333333"/>
          <w:sz w:val="21"/>
          <w:szCs w:val="21"/>
        </w:rPr>
        <w:br/>
      </w:r>
      <w:r>
        <w:rPr>
          <w:rFonts w:ascii="Helvetica" w:hAnsi="Helvetica" w:cs="Helvetica"/>
          <w:bCs/>
          <w:color w:val="333333"/>
          <w:sz w:val="21"/>
          <w:szCs w:val="21"/>
        </w:rPr>
        <w:br/>
        <w:t>The department strongly supports Community Rail, and has sought to promote an increase in community rail activity through recent franchise specifications.  We see this as essential in further building and cementing public trust in the railway, and will build on the excellent community work that the current franchisee already does.</w:t>
      </w:r>
      <w:r>
        <w:rPr>
          <w:rFonts w:ascii="Helvetica" w:hAnsi="Helvetica" w:cs="Helvetica"/>
          <w:bCs/>
          <w:color w:val="333333"/>
          <w:sz w:val="21"/>
          <w:szCs w:val="21"/>
        </w:rPr>
        <w:br/>
      </w:r>
      <w:r>
        <w:rPr>
          <w:rFonts w:ascii="Helvetica" w:hAnsi="Helvetica" w:cs="Helvetica"/>
          <w:bCs/>
          <w:color w:val="333333"/>
          <w:sz w:val="21"/>
          <w:szCs w:val="21"/>
        </w:rPr>
        <w:br/>
        <w:t>We propose to maintain, and, subject to affordability, increase the funding made available by the franchise to support community rail activities and the number of staff dedicated to engagement with the community rail sector.  We also recognise the need to ensure that the process of accessing funding is as simple as possible, while ensuring good value from the money spent.</w:t>
      </w:r>
    </w:p>
    <w:p w:rsidR="003477A5" w:rsidRDefault="003477A5">
      <w:pPr>
        <w:rPr>
          <w:rFonts w:ascii="Helvetica" w:hAnsi="Helvetica" w:cs="Helvetica"/>
          <w:color w:val="333333"/>
          <w:sz w:val="21"/>
          <w:szCs w:val="21"/>
        </w:rPr>
      </w:pP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56. What more do you feel that the franchisee could be doing to help the Community Rail sector increase its contribution to society and the railway, for example in harnessing local community relations and outreach into the community? </w:t>
      </w:r>
    </w:p>
    <w:p w:rsidR="003477A5" w:rsidRDefault="003477A5">
      <w:pPr>
        <w:rPr>
          <w:rFonts w:ascii="Helvetica" w:hAnsi="Helvetica" w:cs="Helvetica"/>
          <w:color w:val="333333"/>
          <w:sz w:val="21"/>
          <w:szCs w:val="21"/>
        </w:rPr>
      </w:pP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3477A5">
            <w:pPr>
              <w:spacing w:after="240"/>
              <w:rPr>
                <w:rFonts w:ascii="Helvetica" w:hAnsi="Helvetica" w:cs="Helvetica"/>
                <w:color w:val="333333"/>
                <w:sz w:val="21"/>
                <w:szCs w:val="21"/>
              </w:rPr>
            </w:pPr>
          </w:p>
          <w:p w:rsidR="003477A5" w:rsidRDefault="00A67CBF">
            <w:pPr>
              <w:spacing w:after="240"/>
            </w:pPr>
            <w:r>
              <w:rPr>
                <w:rFonts w:ascii="Helvetica" w:hAnsi="Helvetica" w:cs="Helvetica"/>
                <w:color w:val="333333"/>
                <w:sz w:val="21"/>
                <w:szCs w:val="21"/>
              </w:rPr>
              <w:t>Franchisees should be required to provide funding for, and work closely with, users’ representatives and Community Rail Partnerships.  They can bring efficiencies and invaluable local resource and insights supporting the franchisees efforts</w:t>
            </w:r>
            <w:r>
              <w:rPr>
                <w:rStyle w:val="Strong"/>
                <w:rFonts w:ascii="Helvetica" w:hAnsi="Helvetica" w:cs="Helvetica"/>
                <w:color w:val="333333"/>
                <w:sz w:val="21"/>
                <w:szCs w:val="21"/>
              </w:rPr>
              <w:t xml:space="preserve"> </w:t>
            </w:r>
            <w:r>
              <w:rPr>
                <w:rStyle w:val="Strong"/>
                <w:rFonts w:ascii="Helvetica" w:hAnsi="Helvetica" w:cs="Helvetica"/>
                <w:b w:val="0"/>
                <w:color w:val="333333"/>
                <w:sz w:val="21"/>
                <w:szCs w:val="21"/>
              </w:rPr>
              <w:t>to focus on the needs of the travelling public</w:t>
            </w:r>
            <w:r>
              <w:rPr>
                <w:rFonts w:ascii="Helvetica" w:hAnsi="Helvetica" w:cs="Helvetica"/>
                <w:color w:val="333333"/>
                <w:sz w:val="21"/>
                <w:szCs w:val="21"/>
              </w:rPr>
              <w:t> to provide an excellent and continually-improving customer experience for all passengers, whatever their particular needs and abilities.  The franchisee should demonstrate their commitment to this area of their work, for example by appointing a senior manager to oversee Community Rail development initiatives with a direct line to a board member.</w:t>
            </w:r>
            <w:r>
              <w:rPr>
                <w:rFonts w:ascii="Helvetica" w:hAnsi="Helvetica" w:cs="Helvetica"/>
                <w:color w:val="333333"/>
                <w:sz w:val="21"/>
                <w:szCs w:val="21"/>
              </w:rPr>
              <w:br/>
            </w:r>
          </w:p>
        </w:tc>
      </w:tr>
    </w:tbl>
    <w:p w:rsidR="003477A5" w:rsidRDefault="00A67CBF">
      <w:pPr>
        <w:rPr>
          <w:rFonts w:ascii="Helvetica" w:hAnsi="Helvetica" w:cs="Helvetica"/>
          <w:b/>
          <w:bCs/>
          <w:color w:val="333333"/>
          <w:sz w:val="36"/>
          <w:szCs w:val="36"/>
        </w:rPr>
      </w:pPr>
      <w:r>
        <w:rPr>
          <w:rFonts w:ascii="Helvetica" w:hAnsi="Helvetica" w:cs="Helvetica"/>
          <w:b/>
          <w:bCs/>
          <w:color w:val="333333"/>
          <w:sz w:val="36"/>
          <w:szCs w:val="36"/>
        </w:rPr>
        <w:t xml:space="preserve">24. Investing in the workforce and industry skills </w:t>
      </w:r>
    </w:p>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57. What more should the franchisee do to invest in the workforce and wider industry skills? </w:t>
      </w:r>
    </w:p>
    <w:p w:rsidR="003477A5" w:rsidRDefault="003477A5">
      <w:pPr>
        <w:rPr>
          <w:rFonts w:ascii="Helvetica" w:hAnsi="Helvetica" w:cs="Helvetica"/>
          <w:color w:val="333333"/>
          <w:sz w:val="21"/>
          <w:szCs w:val="21"/>
        </w:rPr>
      </w:pP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A67CBF">
            <w:pPr>
              <w:spacing w:after="240"/>
              <w:rPr>
                <w:rFonts w:ascii="Helvetica" w:hAnsi="Helvetica" w:cs="Helvetica"/>
                <w:color w:val="333333"/>
                <w:sz w:val="21"/>
                <w:szCs w:val="21"/>
              </w:rPr>
            </w:pPr>
            <w:r>
              <w:rPr>
                <w:rFonts w:ascii="Helvetica" w:hAnsi="Helvetica" w:cs="Helvetica"/>
                <w:color w:val="333333"/>
                <w:sz w:val="21"/>
                <w:szCs w:val="21"/>
              </w:rPr>
              <w:t>Advice awaited</w:t>
            </w:r>
            <w:r>
              <w:rPr>
                <w:rFonts w:ascii="Helvetica" w:hAnsi="Helvetica" w:cs="Helvetica"/>
                <w:color w:val="333333"/>
                <w:sz w:val="21"/>
                <w:szCs w:val="21"/>
              </w:rPr>
              <w:br/>
            </w:r>
            <w:r>
              <w:rPr>
                <w:rFonts w:ascii="Helvetica" w:hAnsi="Helvetica" w:cs="Helvetica"/>
                <w:color w:val="333333"/>
                <w:sz w:val="21"/>
                <w:szCs w:val="21"/>
              </w:rPr>
              <w:br/>
            </w:r>
          </w:p>
        </w:tc>
      </w:tr>
    </w:tbl>
    <w:p w:rsidR="003477A5" w:rsidRDefault="00A67CBF">
      <w:pPr>
        <w:rPr>
          <w:rFonts w:ascii="Helvetica" w:hAnsi="Helvetica" w:cs="Helvetica"/>
          <w:b/>
          <w:bCs/>
          <w:color w:val="333333"/>
          <w:sz w:val="36"/>
          <w:szCs w:val="36"/>
        </w:rPr>
      </w:pPr>
      <w:r>
        <w:rPr>
          <w:rFonts w:ascii="Helvetica" w:hAnsi="Helvetica" w:cs="Helvetica"/>
          <w:b/>
          <w:bCs/>
          <w:color w:val="333333"/>
          <w:sz w:val="36"/>
          <w:szCs w:val="36"/>
        </w:rPr>
        <w:t xml:space="preserve">25. Further priorities for the franchise </w:t>
      </w:r>
    </w:p>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58. Are there any other priorities you would wish to see addressed? </w:t>
      </w:r>
    </w:p>
    <w:p w:rsidR="003477A5" w:rsidRDefault="003477A5">
      <w:pPr>
        <w:rPr>
          <w:rFonts w:ascii="Helvetica" w:hAnsi="Helvetica" w:cs="Helvetica"/>
          <w:color w:val="333333"/>
          <w:sz w:val="21"/>
          <w:szCs w:val="21"/>
        </w:rPr>
      </w:pP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A67CBF">
            <w:pPr>
              <w:spacing w:after="240"/>
              <w:rPr>
                <w:rFonts w:ascii="Helvetica" w:hAnsi="Helvetica" w:cs="Helvetica"/>
                <w:color w:val="333333"/>
                <w:sz w:val="21"/>
                <w:szCs w:val="21"/>
              </w:rPr>
            </w:pPr>
            <w:r>
              <w:rPr>
                <w:rFonts w:ascii="Helvetica" w:hAnsi="Helvetica" w:cs="Helvetica"/>
                <w:color w:val="333333"/>
                <w:sz w:val="21"/>
                <w:szCs w:val="21"/>
              </w:rPr>
              <w:t>The whole area served by the franchise is going through a period of massive growth.  This largely reflects plans for substantial new housing provision, new jobs and consequent population increase.  The Government is forecasting a 17% increase in South West households by 2036, local authorities a rather greater figure.  Rail is key to enabling this growth, sustainably.  That means that the sector needs to engage in identifying the role of transport provision in spatial planning, engaging with stakeholders – both public bodies and users’ representatives.  FirstGroup has set an example in pioneering such links in the existing franchise area, particularly through the appointment of officers tasked with developing stakeholder relations at a sub-regional level.  This strategy should be endorsed.</w:t>
            </w:r>
            <w:r>
              <w:rPr>
                <w:rFonts w:ascii="Helvetica" w:hAnsi="Helvetica" w:cs="Helvetica"/>
                <w:color w:val="333333"/>
                <w:sz w:val="21"/>
                <w:szCs w:val="21"/>
              </w:rPr>
              <w:br/>
            </w:r>
          </w:p>
        </w:tc>
      </w:tr>
    </w:tbl>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59. Which of the priorities identified in Chapter 4 do you think should be pursued most urgently in the period between 2020 and 2022? </w:t>
      </w:r>
    </w:p>
    <w:p w:rsidR="003477A5" w:rsidRDefault="003477A5">
      <w:pPr>
        <w:rPr>
          <w:rFonts w:ascii="Helvetica" w:hAnsi="Helvetica" w:cs="Helvetica"/>
          <w:color w:val="333333"/>
          <w:sz w:val="21"/>
          <w:szCs w:val="21"/>
        </w:rPr>
      </w:pP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A67CBF">
            <w:pPr>
              <w:pStyle w:val="ListParagraph"/>
              <w:numPr>
                <w:ilvl w:val="0"/>
                <w:numId w:val="28"/>
              </w:numPr>
              <w:suppressAutoHyphens w:val="0"/>
              <w:spacing w:after="160" w:line="276" w:lineRule="auto"/>
              <w:textAlignment w:val="auto"/>
            </w:pPr>
            <w:r>
              <w:rPr>
                <w:rFonts w:ascii="Helvetica" w:hAnsi="Helvetica" w:cs="Helvetica"/>
                <w:color w:val="333333"/>
                <w:sz w:val="21"/>
                <w:szCs w:val="21"/>
              </w:rPr>
              <w:t>The main priority for passengers is improved</w:t>
            </w:r>
            <w:r>
              <w:rPr>
                <w:rFonts w:ascii="Helvetica" w:hAnsi="Helvetica" w:cs="Helvetica"/>
                <w:b/>
                <w:color w:val="333333"/>
                <w:sz w:val="21"/>
                <w:szCs w:val="21"/>
              </w:rPr>
              <w:t xml:space="preserve"> performance and reliability – delivering a dependable service</w:t>
            </w:r>
            <w:r>
              <w:rPr>
                <w:rFonts w:ascii="Helvetica" w:hAnsi="Helvetica" w:cs="Helvetica"/>
                <w:color w:val="333333"/>
                <w:sz w:val="21"/>
                <w:szCs w:val="21"/>
              </w:rPr>
              <w:t xml:space="preserve">.  Route modernisation will do much to enable this although the investment needs reinforcement with incentives for operators to deliver services upon which their users can depend consistently for quality. Possible measures range from the provision of additional platform staff to ensure improved train despatch and better passenger support, implementation of automatic delay-repay compensation, to encouraging operators to secure investment to alleviate operational pinch-points on the network.  </w:t>
            </w:r>
          </w:p>
          <w:p w:rsidR="003477A5" w:rsidRDefault="00A67CBF">
            <w:pPr>
              <w:pStyle w:val="ListParagraph"/>
              <w:numPr>
                <w:ilvl w:val="0"/>
                <w:numId w:val="28"/>
              </w:numPr>
              <w:suppressAutoHyphens w:val="0"/>
              <w:spacing w:after="160" w:line="276" w:lineRule="auto"/>
              <w:textAlignment w:val="auto"/>
            </w:pPr>
            <w:r>
              <w:rPr>
                <w:rFonts w:ascii="Helvetica" w:hAnsi="Helvetica" w:cs="Helvetica"/>
                <w:b/>
                <w:color w:val="333333"/>
                <w:sz w:val="21"/>
                <w:szCs w:val="21"/>
              </w:rPr>
              <w:t>Local and regional services need rolling stock that is fit for purpose</w:t>
            </w:r>
            <w:r>
              <w:rPr>
                <w:rFonts w:ascii="Helvetica" w:hAnsi="Helvetica" w:cs="Helvetica"/>
                <w:color w:val="333333"/>
                <w:sz w:val="21"/>
                <w:szCs w:val="21"/>
              </w:rPr>
              <w:t xml:space="preserve">.  There is likely to be a significant capacity gap without additional vehicles to meet current demand, let alone the levels of additional growth forecast by key local authorities.  Faced with breakthroughs in the design and availability of more sustainable forms of road transport, the rail industry needs to raise its game if it is to be the mode of choice in meeting developing travel needs. </w:t>
            </w:r>
          </w:p>
          <w:p w:rsidR="003477A5" w:rsidRDefault="00A67CBF">
            <w:pPr>
              <w:pStyle w:val="ListParagraph"/>
              <w:numPr>
                <w:ilvl w:val="0"/>
                <w:numId w:val="28"/>
              </w:numPr>
              <w:suppressAutoHyphens w:val="0"/>
              <w:spacing w:after="160" w:line="276" w:lineRule="auto"/>
              <w:textAlignment w:val="auto"/>
            </w:pPr>
            <w:r>
              <w:rPr>
                <w:rFonts w:ascii="Helvetica" w:hAnsi="Helvetica" w:cs="Helvetica"/>
                <w:color w:val="333333"/>
                <w:sz w:val="21"/>
                <w:szCs w:val="21"/>
              </w:rPr>
              <w:t xml:space="preserve">The </w:t>
            </w:r>
            <w:r>
              <w:rPr>
                <w:rFonts w:ascii="Helvetica" w:hAnsi="Helvetica" w:cs="Helvetica"/>
                <w:b/>
                <w:color w:val="333333"/>
                <w:sz w:val="21"/>
                <w:szCs w:val="21"/>
              </w:rPr>
              <w:t>plans for Metro West and the Devon Metro should be adv</w:t>
            </w:r>
            <w:r>
              <w:rPr>
                <w:rFonts w:ascii="Helvetica" w:hAnsi="Helvetica" w:cs="Helvetica"/>
                <w:color w:val="333333"/>
                <w:sz w:val="21"/>
                <w:szCs w:val="21"/>
              </w:rPr>
              <w:t xml:space="preserve">anced as major contributions to relieving the unacceptable congestion of two of the South West’s largest agglomerations and unlocking their productive potential. </w:t>
            </w:r>
          </w:p>
          <w:p w:rsidR="003477A5" w:rsidRDefault="00A67CBF">
            <w:pPr>
              <w:pStyle w:val="ListParagraph"/>
              <w:numPr>
                <w:ilvl w:val="0"/>
                <w:numId w:val="28"/>
              </w:numPr>
              <w:suppressAutoHyphens w:val="0"/>
              <w:spacing w:after="160" w:line="276" w:lineRule="auto"/>
              <w:textAlignment w:val="auto"/>
            </w:pPr>
            <w:r>
              <w:rPr>
                <w:rFonts w:ascii="Helvetica" w:hAnsi="Helvetica" w:cs="Helvetica"/>
                <w:b/>
                <w:color w:val="333333"/>
                <w:sz w:val="21"/>
                <w:szCs w:val="21"/>
              </w:rPr>
              <w:t>Basic service patterns should be no less than ho</w:t>
            </w:r>
            <w:r>
              <w:rPr>
                <w:rFonts w:ascii="Helvetica" w:hAnsi="Helvetica" w:cs="Helvetica"/>
                <w:color w:val="333333"/>
                <w:sz w:val="21"/>
                <w:szCs w:val="21"/>
              </w:rPr>
              <w:t xml:space="preserve">urly, the principal inter-urban, commuter and metro flows having services operating with greater frequency. </w:t>
            </w:r>
          </w:p>
          <w:p w:rsidR="003477A5" w:rsidRDefault="003477A5">
            <w:pPr>
              <w:spacing w:after="240"/>
              <w:rPr>
                <w:rFonts w:ascii="Helvetica" w:hAnsi="Helvetica" w:cs="Helvetica"/>
                <w:color w:val="333333"/>
                <w:sz w:val="21"/>
                <w:szCs w:val="21"/>
              </w:rPr>
            </w:pPr>
          </w:p>
        </w:tc>
      </w:tr>
    </w:tbl>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60. What initiatives, not currently offered, could be provided through improved technology to meet the changing requirements of passengers? </w:t>
      </w:r>
    </w:p>
    <w:p w:rsidR="003477A5" w:rsidRDefault="003477A5">
      <w:pPr>
        <w:rPr>
          <w:rFonts w:ascii="Helvetica" w:hAnsi="Helvetica" w:cs="Helvetica"/>
          <w:color w:val="333333"/>
          <w:sz w:val="21"/>
          <w:szCs w:val="21"/>
        </w:rPr>
      </w:pP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A67CBF">
            <w:pPr>
              <w:spacing w:after="240"/>
              <w:rPr>
                <w:rFonts w:ascii="Helvetica" w:hAnsi="Helvetica" w:cs="Helvetica"/>
                <w:color w:val="333333"/>
                <w:sz w:val="21"/>
                <w:szCs w:val="21"/>
              </w:rPr>
            </w:pPr>
            <w:r>
              <w:rPr>
                <w:rFonts w:ascii="Helvetica" w:hAnsi="Helvetica" w:cs="Helvetica"/>
                <w:color w:val="333333"/>
                <w:sz w:val="21"/>
                <w:szCs w:val="21"/>
              </w:rPr>
              <w:t> </w:t>
            </w:r>
            <w:r>
              <w:rPr>
                <w:rFonts w:ascii="Helvetica" w:hAnsi="Helvetica" w:cs="Helvetica"/>
                <w:color w:val="333333"/>
                <w:sz w:val="21"/>
                <w:szCs w:val="21"/>
              </w:rPr>
              <w:br/>
              <w:t>Advice awaited.</w:t>
            </w:r>
            <w:r>
              <w:rPr>
                <w:rFonts w:ascii="Helvetica" w:hAnsi="Helvetica" w:cs="Helvetica"/>
                <w:color w:val="333333"/>
                <w:sz w:val="21"/>
                <w:szCs w:val="21"/>
              </w:rPr>
              <w:br/>
            </w:r>
          </w:p>
        </w:tc>
      </w:tr>
    </w:tbl>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61. In what ways do you think that the franchise could promote equality of opportunity for people with: </w:t>
      </w:r>
    </w:p>
    <w:p w:rsidR="003477A5" w:rsidRDefault="003477A5">
      <w:pPr>
        <w:rPr>
          <w:rFonts w:ascii="Helvetica" w:hAnsi="Helvetica" w:cs="Helvetica"/>
          <w:color w:val="333333"/>
          <w:sz w:val="21"/>
          <w:szCs w:val="21"/>
        </w:rPr>
      </w:pPr>
    </w:p>
    <w:tbl>
      <w:tblPr>
        <w:tblW w:w="9026" w:type="dxa"/>
        <w:tblCellMar>
          <w:left w:w="10" w:type="dxa"/>
          <w:right w:w="10" w:type="dxa"/>
        </w:tblCellMar>
        <w:tblLook w:val="0000" w:firstRow="0" w:lastRow="0" w:firstColumn="0" w:lastColumn="0" w:noHBand="0" w:noVBand="0"/>
      </w:tblPr>
      <w:tblGrid>
        <w:gridCol w:w="1510"/>
        <w:gridCol w:w="7516"/>
      </w:tblGrid>
      <w:tr w:rsidR="003477A5">
        <w:tc>
          <w:tcPr>
            <w:tcW w:w="1510" w:type="dxa"/>
            <w:shd w:val="clear" w:color="auto" w:fill="auto"/>
            <w:tcMar>
              <w:top w:w="0" w:type="dxa"/>
              <w:left w:w="0" w:type="dxa"/>
              <w:bottom w:w="0" w:type="dxa"/>
              <w:right w:w="0" w:type="dxa"/>
            </w:tcMar>
            <w:vAlign w:val="center"/>
          </w:tcPr>
          <w:p w:rsidR="003477A5" w:rsidRDefault="00A67CBF">
            <w:pPr>
              <w:rPr>
                <w:rFonts w:ascii="Helvetica" w:hAnsi="Helvetica" w:cs="Helvetica"/>
                <w:color w:val="333333"/>
                <w:sz w:val="21"/>
                <w:szCs w:val="21"/>
              </w:rPr>
            </w:pPr>
            <w:r>
              <w:rPr>
                <w:rFonts w:ascii="Helvetica" w:hAnsi="Helvetica" w:cs="Helvetica"/>
                <w:color w:val="333333"/>
                <w:sz w:val="21"/>
                <w:szCs w:val="21"/>
              </w:rPr>
              <w:t>disabilities?  </w:t>
            </w:r>
          </w:p>
        </w:tc>
        <w:tc>
          <w:tcPr>
            <w:tcW w:w="7516" w:type="dxa"/>
            <w:shd w:val="clear" w:color="auto" w:fill="auto"/>
            <w:tcMar>
              <w:top w:w="0" w:type="dxa"/>
              <w:left w:w="0" w:type="dxa"/>
              <w:bottom w:w="75" w:type="dxa"/>
              <w:right w:w="0" w:type="dxa"/>
            </w:tcMar>
            <w:vAlign w:val="center"/>
          </w:tcPr>
          <w:tbl>
            <w:tblPr>
              <w:tblW w:w="7500" w:type="dxa"/>
              <w:tblCellMar>
                <w:left w:w="10" w:type="dxa"/>
                <w:right w:w="10" w:type="dxa"/>
              </w:tblCellMar>
              <w:tblLook w:val="0000" w:firstRow="0" w:lastRow="0" w:firstColumn="0" w:lastColumn="0" w:noHBand="0" w:noVBand="0"/>
            </w:tblPr>
            <w:tblGrid>
              <w:gridCol w:w="7500"/>
            </w:tblGrid>
            <w:tr w:rsidR="003477A5">
              <w:tc>
                <w:tcPr>
                  <w:tcW w:w="7500"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rPr>
                      <w:rFonts w:ascii="Helvetica" w:hAnsi="Helvetica" w:cs="Helvetica"/>
                      <w:color w:val="333333"/>
                      <w:sz w:val="21"/>
                      <w:szCs w:val="21"/>
                    </w:rPr>
                  </w:pPr>
                  <w:r>
                    <w:rPr>
                      <w:rFonts w:ascii="Helvetica" w:hAnsi="Helvetica" w:cs="Helvetica"/>
                      <w:color w:val="333333"/>
                      <w:sz w:val="21"/>
                      <w:szCs w:val="21"/>
                    </w:rPr>
                    <w:t>We consider that, Brexit or not, early full compliance with the People of Reduced Mobility – Technical Standard of Interoperability will achieve a necessary standard of provision that will benefit all passengers.</w:t>
                  </w:r>
                </w:p>
              </w:tc>
            </w:tr>
          </w:tbl>
          <w:p w:rsidR="003477A5" w:rsidRDefault="003477A5">
            <w:pPr>
              <w:rPr>
                <w:rFonts w:ascii="Helvetica" w:hAnsi="Helvetica" w:cs="Helvetica"/>
                <w:color w:val="333333"/>
                <w:sz w:val="21"/>
                <w:szCs w:val="21"/>
              </w:rPr>
            </w:pPr>
          </w:p>
        </w:tc>
      </w:tr>
      <w:tr w:rsidR="003477A5">
        <w:tc>
          <w:tcPr>
            <w:tcW w:w="1510" w:type="dxa"/>
            <w:shd w:val="clear" w:color="auto" w:fill="auto"/>
            <w:tcMar>
              <w:top w:w="0" w:type="dxa"/>
              <w:left w:w="0" w:type="dxa"/>
              <w:bottom w:w="0" w:type="dxa"/>
              <w:right w:w="0" w:type="dxa"/>
            </w:tcMar>
            <w:vAlign w:val="center"/>
          </w:tcPr>
          <w:p w:rsidR="003477A5" w:rsidRDefault="00A67CBF">
            <w:pPr>
              <w:rPr>
                <w:rFonts w:ascii="Helvetica" w:hAnsi="Helvetica" w:cs="Helvetica"/>
                <w:color w:val="333333"/>
                <w:sz w:val="21"/>
                <w:szCs w:val="21"/>
              </w:rPr>
            </w:pPr>
            <w:r>
              <w:rPr>
                <w:rFonts w:ascii="Helvetica" w:hAnsi="Helvetica" w:cs="Helvetica"/>
                <w:color w:val="333333"/>
                <w:sz w:val="21"/>
                <w:szCs w:val="21"/>
              </w:rPr>
              <w:t>other protected characteristics within the meaning of the Equalities Act 2010?  </w:t>
            </w:r>
          </w:p>
        </w:tc>
        <w:tc>
          <w:tcPr>
            <w:tcW w:w="7516" w:type="dxa"/>
            <w:shd w:val="clear" w:color="auto" w:fill="auto"/>
            <w:tcMar>
              <w:top w:w="0" w:type="dxa"/>
              <w:left w:w="0" w:type="dxa"/>
              <w:bottom w:w="75" w:type="dxa"/>
              <w:right w:w="0" w:type="dxa"/>
            </w:tcMar>
            <w:vAlign w:val="center"/>
          </w:tcPr>
          <w:tbl>
            <w:tblPr>
              <w:tblW w:w="7500" w:type="dxa"/>
              <w:tblCellMar>
                <w:left w:w="10" w:type="dxa"/>
                <w:right w:w="10" w:type="dxa"/>
              </w:tblCellMar>
              <w:tblLook w:val="0000" w:firstRow="0" w:lastRow="0" w:firstColumn="0" w:lastColumn="0" w:noHBand="0" w:noVBand="0"/>
            </w:tblPr>
            <w:tblGrid>
              <w:gridCol w:w="7500"/>
            </w:tblGrid>
            <w:tr w:rsidR="003477A5">
              <w:tc>
                <w:tcPr>
                  <w:tcW w:w="7500"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A67CBF">
                  <w:pPr>
                    <w:rPr>
                      <w:rFonts w:ascii="Helvetica" w:hAnsi="Helvetica" w:cs="Helvetica"/>
                      <w:color w:val="333333"/>
                      <w:sz w:val="21"/>
                      <w:szCs w:val="21"/>
                    </w:rPr>
                  </w:pPr>
                  <w:r>
                    <w:rPr>
                      <w:rFonts w:ascii="Helvetica" w:hAnsi="Helvetica" w:cs="Helvetica"/>
                      <w:color w:val="333333"/>
                      <w:sz w:val="21"/>
                      <w:szCs w:val="21"/>
                    </w:rPr>
                    <w:t> -</w:t>
                  </w:r>
                </w:p>
              </w:tc>
            </w:tr>
          </w:tbl>
          <w:p w:rsidR="003477A5" w:rsidRDefault="003477A5">
            <w:pPr>
              <w:rPr>
                <w:rFonts w:ascii="Helvetica" w:hAnsi="Helvetica" w:cs="Helvetica"/>
                <w:color w:val="333333"/>
                <w:sz w:val="21"/>
                <w:szCs w:val="21"/>
              </w:rPr>
            </w:pPr>
          </w:p>
        </w:tc>
      </w:tr>
    </w:tbl>
    <w:p w:rsidR="003477A5" w:rsidRDefault="00A67CBF">
      <w:pPr>
        <w:rPr>
          <w:rFonts w:ascii="Helvetica" w:hAnsi="Helvetica" w:cs="Helvetica"/>
          <w:b/>
          <w:bCs/>
          <w:color w:val="333333"/>
          <w:sz w:val="36"/>
          <w:szCs w:val="36"/>
        </w:rPr>
      </w:pPr>
      <w:r>
        <w:rPr>
          <w:rFonts w:ascii="Helvetica" w:hAnsi="Helvetica" w:cs="Helvetica"/>
          <w:b/>
          <w:bCs/>
          <w:color w:val="333333"/>
          <w:sz w:val="36"/>
          <w:szCs w:val="36"/>
        </w:rPr>
        <w:t xml:space="preserve">26. Final comments </w:t>
      </w:r>
    </w:p>
    <w:p w:rsidR="003477A5" w:rsidRDefault="00A67CBF">
      <w:pPr>
        <w:rPr>
          <w:rFonts w:ascii="Helvetica" w:hAnsi="Helvetica" w:cs="Helvetica"/>
          <w:color w:val="333333"/>
          <w:sz w:val="21"/>
          <w:szCs w:val="21"/>
        </w:rPr>
      </w:pPr>
      <w:r>
        <w:rPr>
          <w:rFonts w:ascii="Helvetica" w:hAnsi="Helvetica" w:cs="Helvetica"/>
          <w:color w:val="333333"/>
          <w:sz w:val="21"/>
          <w:szCs w:val="21"/>
        </w:rPr>
        <w:t> </w:t>
      </w:r>
    </w:p>
    <w:p w:rsidR="003477A5" w:rsidRDefault="00A67CBF">
      <w:pPr>
        <w:pStyle w:val="Heading3"/>
        <w:spacing w:before="300"/>
        <w:rPr>
          <w:rFonts w:ascii="Helvetica" w:hAnsi="Helvetica" w:cs="Helvetica"/>
          <w:b/>
          <w:bCs/>
          <w:color w:val="333333"/>
          <w:sz w:val="21"/>
          <w:szCs w:val="21"/>
        </w:rPr>
      </w:pPr>
      <w:r>
        <w:rPr>
          <w:rFonts w:ascii="Helvetica" w:hAnsi="Helvetica" w:cs="Helvetica"/>
          <w:b/>
          <w:bCs/>
          <w:color w:val="333333"/>
          <w:sz w:val="21"/>
          <w:szCs w:val="21"/>
        </w:rPr>
        <w:t xml:space="preserve">62. Do you wish to add any other comments? </w:t>
      </w:r>
    </w:p>
    <w:p w:rsidR="003477A5" w:rsidRDefault="003477A5">
      <w:pPr>
        <w:rPr>
          <w:rFonts w:ascii="Helvetica" w:hAnsi="Helvetica" w:cs="Helvetica"/>
          <w:color w:val="333333"/>
          <w:sz w:val="21"/>
          <w:szCs w:val="21"/>
        </w:rPr>
      </w:pPr>
    </w:p>
    <w:tbl>
      <w:tblPr>
        <w:tblW w:w="5000" w:type="pct"/>
        <w:jc w:val="center"/>
        <w:tblCellMar>
          <w:left w:w="10" w:type="dxa"/>
          <w:right w:w="10" w:type="dxa"/>
        </w:tblCellMar>
        <w:tblLook w:val="0000" w:firstRow="0" w:lastRow="0" w:firstColumn="0" w:lastColumn="0" w:noHBand="0" w:noVBand="0"/>
      </w:tblPr>
      <w:tblGrid>
        <w:gridCol w:w="9010"/>
      </w:tblGrid>
      <w:tr w:rsidR="003477A5">
        <w:trPr>
          <w:jc w:val="center"/>
        </w:trPr>
        <w:tc>
          <w:tcPr>
            <w:tcW w:w="9042" w:type="dxa"/>
            <w:tcBorders>
              <w:top w:val="single" w:sz="6" w:space="0" w:color="97C9EB"/>
              <w:left w:val="single" w:sz="6" w:space="0" w:color="97C9EB"/>
              <w:bottom w:val="single" w:sz="6" w:space="0" w:color="97C9EB"/>
              <w:right w:val="single" w:sz="6" w:space="0" w:color="97C9EB"/>
            </w:tcBorders>
            <w:shd w:val="clear" w:color="auto" w:fill="FFFFFF"/>
            <w:tcMar>
              <w:top w:w="0" w:type="dxa"/>
              <w:left w:w="0" w:type="dxa"/>
              <w:bottom w:w="0" w:type="dxa"/>
              <w:right w:w="0" w:type="dxa"/>
            </w:tcMar>
            <w:vAlign w:val="center"/>
          </w:tcPr>
          <w:p w:rsidR="003477A5" w:rsidRDefault="00A67CBF">
            <w:pPr>
              <w:spacing w:after="240"/>
              <w:rPr>
                <w:rFonts w:ascii="Helvetica" w:hAnsi="Helvetica" w:cs="Helvetica"/>
                <w:color w:val="333333"/>
                <w:sz w:val="21"/>
                <w:szCs w:val="21"/>
              </w:rPr>
            </w:pPr>
            <w:r>
              <w:rPr>
                <w:rFonts w:ascii="Helvetica" w:hAnsi="Helvetica" w:cs="Helvetica"/>
                <w:color w:val="333333"/>
                <w:sz w:val="21"/>
                <w:szCs w:val="21"/>
              </w:rPr>
              <w:t> </w:t>
            </w:r>
            <w:r>
              <w:rPr>
                <w:rFonts w:ascii="Helvetica" w:hAnsi="Helvetica" w:cs="Helvetica"/>
                <w:color w:val="333333"/>
                <w:sz w:val="21"/>
                <w:szCs w:val="21"/>
              </w:rPr>
              <w:br/>
            </w:r>
            <w:r>
              <w:rPr>
                <w:rFonts w:ascii="Helvetica" w:hAnsi="Helvetica" w:cs="Helvetica"/>
                <w:color w:val="333333"/>
                <w:sz w:val="21"/>
                <w:szCs w:val="21"/>
              </w:rPr>
              <w:br/>
            </w:r>
            <w:r>
              <w:rPr>
                <w:rFonts w:ascii="Helvetica" w:hAnsi="Helvetica" w:cs="Helvetica"/>
                <w:color w:val="333333"/>
                <w:sz w:val="21"/>
                <w:szCs w:val="21"/>
              </w:rPr>
              <w:br/>
            </w:r>
          </w:p>
        </w:tc>
      </w:tr>
    </w:tbl>
    <w:p w:rsidR="003477A5" w:rsidRDefault="003477A5"/>
    <w:sectPr w:rsidR="003477A5">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516A" w:rsidRDefault="0063516A">
      <w:r>
        <w:separator/>
      </w:r>
    </w:p>
  </w:endnote>
  <w:endnote w:type="continuationSeparator" w:id="0">
    <w:p w:rsidR="0063516A" w:rsidRDefault="00635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inherit">
    <w:altName w:val="Cambria"/>
    <w:charset w:val="00"/>
    <w:family w:val="roman"/>
    <w:pitch w:val="default"/>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 w:name="Glyphicons Halflings">
    <w:charset w:val="00"/>
    <w:family w:val="auto"/>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516A" w:rsidRDefault="0063516A">
      <w:r>
        <w:rPr>
          <w:color w:val="000000"/>
        </w:rPr>
        <w:separator/>
      </w:r>
    </w:p>
  </w:footnote>
  <w:footnote w:type="continuationSeparator" w:id="0">
    <w:p w:rsidR="0063516A" w:rsidRDefault="0063516A">
      <w:r>
        <w:continuationSeparator/>
      </w:r>
    </w:p>
  </w:footnote>
  <w:footnote w:id="1">
    <w:p w:rsidR="00A67CBF" w:rsidRDefault="00A67CBF">
      <w:pPr>
        <w:pStyle w:val="FootnoteText"/>
      </w:pPr>
      <w:r>
        <w:rPr>
          <w:rStyle w:val="FootnoteReference"/>
        </w:rPr>
        <w:footnoteRef/>
      </w:r>
      <w:r>
        <w:rPr>
          <w:rFonts w:cs="Calibri"/>
        </w:rPr>
        <w:t xml:space="preserve">Following Garden Town accreditation, it is planned to deliver 15,000 new homes and 20,000 new jobs in Didcot and across Science Vale (of which Wantage/Grove is part).  </w:t>
      </w:r>
      <w:r>
        <w:t xml:space="preserve"> </w:t>
      </w:r>
      <w:hyperlink r:id="rId1" w:history="1">
        <w:r>
          <w:rPr>
            <w:rStyle w:val="Hyperlink"/>
            <w:lang w:val="en-US"/>
          </w:rPr>
          <w:t>http://www.southoxon.gov.uk/business/support-business/supporting-our-town-centres/didcot/didcot-garden-town-0</w:t>
        </w:r>
      </w:hyperlink>
    </w:p>
    <w:p w:rsidR="00A67CBF" w:rsidRDefault="00A67CBF">
      <w:pPr>
        <w:pStyle w:val="FootnoteText"/>
      </w:pPr>
    </w:p>
  </w:footnote>
  <w:footnote w:id="2">
    <w:p w:rsidR="00A67CBF" w:rsidRDefault="00A67CBF">
      <w:pPr>
        <w:pStyle w:val="FootnoteText"/>
      </w:pPr>
      <w:r>
        <w:rPr>
          <w:rStyle w:val="FootnoteReference"/>
        </w:rPr>
        <w:footnoteRef/>
      </w:r>
      <w:r>
        <w:rPr>
          <w:lang w:val="en-US"/>
        </w:rPr>
        <w:t xml:space="preserve"> </w:t>
      </w:r>
      <w:r>
        <w:t>The Devon Metro concept is currently focussed on services radiating from Exeter.  There are calls from stakeholders in south Devon for the concept to be widened.  They point out that around 1500 people make daily return trips between Torbay and Plymouth, despite the absence of through trains and, consequently, extended journey times.</w:t>
      </w:r>
    </w:p>
  </w:footnote>
  <w:footnote w:id="3">
    <w:p w:rsidR="00A67CBF" w:rsidRDefault="00A67CBF">
      <w:pPr>
        <w:pStyle w:val="FootnoteText"/>
      </w:pPr>
      <w:r>
        <w:rPr>
          <w:rStyle w:val="FootnoteReference"/>
        </w:rPr>
        <w:footnoteRef/>
      </w:r>
      <w:r>
        <w:rPr>
          <w:lang w:val="en-US"/>
        </w:rPr>
        <w:t xml:space="preserve"> </w:t>
      </w:r>
      <w:hyperlink r:id="rId2" w:history="1">
        <w:r>
          <w:rPr>
            <w:rStyle w:val="Hyperlink"/>
            <w:lang w:val="en-US"/>
          </w:rPr>
          <w:t>http://www.englishrivieratourism.co.uk/documents/Torbay%202012%20Official%20Tourism%20Statistics.pdf</w:t>
        </w:r>
      </w:hyperlink>
    </w:p>
  </w:footnote>
  <w:footnote w:id="4">
    <w:p w:rsidR="00A67CBF" w:rsidRDefault="00A67CBF">
      <w:pPr>
        <w:pStyle w:val="FootnoteText"/>
      </w:pPr>
      <w:r>
        <w:rPr>
          <w:rStyle w:val="FootnoteReference"/>
        </w:rPr>
        <w:footnoteRef/>
      </w:r>
      <w:r>
        <w:rPr>
          <w:lang w:val="en-US"/>
        </w:rPr>
        <w:t xml:space="preserve"> </w:t>
      </w:r>
      <w:r>
        <w:t>Cornwall Council have expressed a strong desire that this should be a clock face service, with trains departing on the same minutes each hour at consistent intervals.  There appears to be wide interest across the South West in development of a comprehensive clock face-based timetable of integrated public transport services, like those in the Netherlands, Germany and Switzerland (</w:t>
      </w:r>
      <w:r>
        <w:rPr>
          <w:i/>
        </w:rPr>
        <w:t>Taktfahrplan</w:t>
      </w:r>
      <w:r>
        <w:t xml:space="preserve">). </w:t>
      </w:r>
    </w:p>
  </w:footnote>
  <w:footnote w:id="5">
    <w:p w:rsidR="00A67CBF" w:rsidRDefault="00A67CBF">
      <w:pPr>
        <w:pStyle w:val="FootnoteText"/>
      </w:pPr>
      <w:r>
        <w:rPr>
          <w:rStyle w:val="FootnoteReference"/>
        </w:rPr>
        <w:footnoteRef/>
      </w:r>
      <w:r>
        <w:rPr>
          <w:lang w:val="en-US"/>
        </w:rPr>
        <w:t xml:space="preserve"> </w:t>
      </w:r>
      <w:r>
        <w:t xml:space="preserve">See recommendations of </w:t>
      </w:r>
      <w:r>
        <w:rPr>
          <w:i/>
        </w:rPr>
        <w:t>Gatwick Growth Board Connectivity Study</w:t>
      </w:r>
      <w:r>
        <w:t xml:space="preserve">, Arup for Gatwick Airport Ltd, July 2017.  These propose </w:t>
      </w:r>
      <w:r>
        <w:rPr>
          <w:lang w:val="en-US"/>
        </w:rPr>
        <w:t>enhancements to the railway from Gatwick to Redhill, Guildford and Reading to enable two direct trains to operate hourly from Gatwick to Reading with faster journey times. This is seen as beneficial to planned major housing developments towards Guildford and as enabling connectivity to Oxford, the Midlands and, in the future, the East West Rail connection to Milton Keynes and Bedford.</w:t>
      </w:r>
      <w:r>
        <w:t xml:space="preserve"> </w:t>
      </w:r>
      <w:hyperlink r:id="rId3" w:history="1">
        <w:r>
          <w:rPr>
            <w:rStyle w:val="Hyperlink"/>
          </w:rPr>
          <w:t>https://www.gatwickairport.com/globalassets/business--community/new-community--sustainability/economy/2017-07-07-ggb-connect---arup-report---final.pdf</w:t>
        </w:r>
      </w:hyperlink>
    </w:p>
    <w:p w:rsidR="00A67CBF" w:rsidRDefault="00A67CBF">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C425E"/>
    <w:multiLevelType w:val="multilevel"/>
    <w:tmpl w:val="9C6A0F8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 w15:restartNumberingAfterBreak="0">
    <w:nsid w:val="0CDC0D7C"/>
    <w:multiLevelType w:val="multilevel"/>
    <w:tmpl w:val="DF2C400C"/>
    <w:lvl w:ilvl="0">
      <w:numFmt w:val="bullet"/>
      <w:lvlText w:val="o"/>
      <w:lvlJc w:val="left"/>
      <w:pPr>
        <w:ind w:left="360" w:hanging="360"/>
      </w:pPr>
      <w:rPr>
        <w:rFonts w:ascii="Courier New" w:hAnsi="Courier New" w:cs="Courier New"/>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 w15:restartNumberingAfterBreak="0">
    <w:nsid w:val="0F155E18"/>
    <w:multiLevelType w:val="multilevel"/>
    <w:tmpl w:val="2668B0A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 w15:restartNumberingAfterBreak="0">
    <w:nsid w:val="110C1AA1"/>
    <w:multiLevelType w:val="multilevel"/>
    <w:tmpl w:val="ABDEF0E2"/>
    <w:lvl w:ilvl="0">
      <w:numFmt w:val="bullet"/>
      <w:lvlText w:val=""/>
      <w:lvlJc w:val="left"/>
      <w:pPr>
        <w:ind w:left="360" w:hanging="360"/>
      </w:pPr>
      <w:rPr>
        <w:rFonts w:ascii="Symbol" w:hAnsi="Symbol"/>
        <w:sz w:val="28"/>
        <w:szCs w:val="2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1260D66"/>
    <w:multiLevelType w:val="multilevel"/>
    <w:tmpl w:val="5C7A28C0"/>
    <w:lvl w:ilvl="0">
      <w:numFmt w:val="bullet"/>
      <w:lvlText w:val=""/>
      <w:lvlJc w:val="left"/>
      <w:pPr>
        <w:ind w:left="720" w:hanging="360"/>
      </w:pPr>
      <w:rPr>
        <w:rFonts w:ascii="Symbol" w:eastAsia="Times New Roman" w:hAnsi="Symbol" w:cs="Helvetica"/>
        <w:b/>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A294F87"/>
    <w:multiLevelType w:val="multilevel"/>
    <w:tmpl w:val="7D70C6B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15:restartNumberingAfterBreak="0">
    <w:nsid w:val="22CA5BB8"/>
    <w:multiLevelType w:val="multilevel"/>
    <w:tmpl w:val="D3B210BA"/>
    <w:lvl w:ilvl="0">
      <w:numFmt w:val="bullet"/>
      <w:lvlText w:val=""/>
      <w:lvlJc w:val="left"/>
      <w:pPr>
        <w:ind w:left="720" w:hanging="360"/>
      </w:pPr>
      <w:rPr>
        <w:rFonts w:ascii="Symbol" w:eastAsia="Times New Roman" w:hAnsi="Symbol" w:cs="Helvetica"/>
        <w:b/>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2833694E"/>
    <w:multiLevelType w:val="multilevel"/>
    <w:tmpl w:val="3DC40D1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8" w15:restartNumberingAfterBreak="0">
    <w:nsid w:val="385C7151"/>
    <w:multiLevelType w:val="multilevel"/>
    <w:tmpl w:val="E8A4A2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3CA53656"/>
    <w:multiLevelType w:val="multilevel"/>
    <w:tmpl w:val="7B2009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40AE1DD6"/>
    <w:multiLevelType w:val="multilevel"/>
    <w:tmpl w:val="BAF6133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1" w15:restartNumberingAfterBreak="0">
    <w:nsid w:val="45144CF3"/>
    <w:multiLevelType w:val="multilevel"/>
    <w:tmpl w:val="8FD8FEFE"/>
    <w:lvl w:ilvl="0">
      <w:numFmt w:val="bullet"/>
      <w:lvlText w:val="o"/>
      <w:lvlJc w:val="left"/>
      <w:pPr>
        <w:ind w:left="360" w:hanging="360"/>
      </w:pPr>
      <w:rPr>
        <w:rFonts w:ascii="Courier New" w:hAnsi="Courier New" w:cs="Courier New"/>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485A798A"/>
    <w:multiLevelType w:val="multilevel"/>
    <w:tmpl w:val="0CEE6D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48BC2462"/>
    <w:multiLevelType w:val="multilevel"/>
    <w:tmpl w:val="E5FA6C92"/>
    <w:lvl w:ilvl="0">
      <w:numFmt w:val="bullet"/>
      <w:lvlText w:val=""/>
      <w:lvlJc w:val="left"/>
      <w:pPr>
        <w:ind w:left="720" w:hanging="360"/>
      </w:pPr>
      <w:rPr>
        <w:rFonts w:ascii="Symbol" w:eastAsia="Times New Roman" w:hAnsi="Symbol" w:cs="Helvetica"/>
        <w:b/>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4B554020"/>
    <w:multiLevelType w:val="multilevel"/>
    <w:tmpl w:val="7884DC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50BC75A3"/>
    <w:multiLevelType w:val="multilevel"/>
    <w:tmpl w:val="5930F86C"/>
    <w:lvl w:ilvl="0">
      <w:numFmt w:val="bullet"/>
      <w:lvlText w:val="o"/>
      <w:lvlJc w:val="left"/>
      <w:pPr>
        <w:ind w:left="360" w:hanging="360"/>
      </w:pPr>
      <w:rPr>
        <w:rFonts w:ascii="Courier New" w:hAnsi="Courier New" w:cs="Courier New"/>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6" w15:restartNumberingAfterBreak="0">
    <w:nsid w:val="51916C07"/>
    <w:multiLevelType w:val="multilevel"/>
    <w:tmpl w:val="317A7390"/>
    <w:lvl w:ilvl="0">
      <w:numFmt w:val="bullet"/>
      <w:lvlText w:val=""/>
      <w:lvlJc w:val="left"/>
      <w:pPr>
        <w:ind w:left="720" w:hanging="360"/>
      </w:pPr>
      <w:rPr>
        <w:rFonts w:ascii="Symbol" w:eastAsia="Times New Roman" w:hAnsi="Symbol" w:cs="Helvetica"/>
        <w:b/>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53A814F7"/>
    <w:multiLevelType w:val="multilevel"/>
    <w:tmpl w:val="DC7888B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8" w15:restartNumberingAfterBreak="0">
    <w:nsid w:val="573B3698"/>
    <w:multiLevelType w:val="multilevel"/>
    <w:tmpl w:val="26FE575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9" w15:restartNumberingAfterBreak="0">
    <w:nsid w:val="6DAE08EB"/>
    <w:multiLevelType w:val="multilevel"/>
    <w:tmpl w:val="A758502C"/>
    <w:lvl w:ilvl="0">
      <w:numFmt w:val="bullet"/>
      <w:lvlText w:val=""/>
      <w:lvlJc w:val="left"/>
      <w:pPr>
        <w:ind w:left="720" w:hanging="360"/>
      </w:pPr>
      <w:rPr>
        <w:rFonts w:ascii="Symbol" w:eastAsia="Times New Roman" w:hAnsi="Symbol" w:cs="Helvetica"/>
        <w:b/>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70E840C7"/>
    <w:multiLevelType w:val="multilevel"/>
    <w:tmpl w:val="845EABC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1" w15:restartNumberingAfterBreak="0">
    <w:nsid w:val="73FE25B3"/>
    <w:multiLevelType w:val="multilevel"/>
    <w:tmpl w:val="DCBA88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74E417CD"/>
    <w:multiLevelType w:val="multilevel"/>
    <w:tmpl w:val="7D663B58"/>
    <w:lvl w:ilvl="0">
      <w:numFmt w:val="bullet"/>
      <w:lvlText w:val="o"/>
      <w:lvlJc w:val="left"/>
      <w:pPr>
        <w:ind w:left="360" w:hanging="360"/>
      </w:pPr>
      <w:rPr>
        <w:rFonts w:ascii="Courier New" w:hAnsi="Courier New" w:cs="Courier New"/>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3" w15:restartNumberingAfterBreak="0">
    <w:nsid w:val="7A3F104F"/>
    <w:multiLevelType w:val="multilevel"/>
    <w:tmpl w:val="9E385AC0"/>
    <w:lvl w:ilvl="0">
      <w:numFmt w:val="bullet"/>
      <w:lvlText w:val=""/>
      <w:lvlJc w:val="left"/>
      <w:pPr>
        <w:ind w:left="720" w:hanging="360"/>
      </w:pPr>
      <w:rPr>
        <w:rFonts w:ascii="Symbol" w:eastAsia="Times New Roman" w:hAnsi="Symbol" w:cs="Helvetica"/>
        <w:b/>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7C966777"/>
    <w:multiLevelType w:val="multilevel"/>
    <w:tmpl w:val="0A329C8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7CD555AD"/>
    <w:multiLevelType w:val="multilevel"/>
    <w:tmpl w:val="4A88DA5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6" w15:restartNumberingAfterBreak="0">
    <w:nsid w:val="7F1E6357"/>
    <w:multiLevelType w:val="multilevel"/>
    <w:tmpl w:val="8D5EEC72"/>
    <w:lvl w:ilvl="0">
      <w:numFmt w:val="bullet"/>
      <w:lvlText w:val=""/>
      <w:lvlJc w:val="left"/>
      <w:pPr>
        <w:ind w:left="720" w:hanging="360"/>
      </w:pPr>
      <w:rPr>
        <w:rFonts w:ascii="Symbol" w:eastAsia="Times New Roman" w:hAnsi="Symbol" w:cs="Helvetica"/>
        <w:b/>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7F36137F"/>
    <w:multiLevelType w:val="multilevel"/>
    <w:tmpl w:val="6AE8A1C6"/>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num w:numId="1">
    <w:abstractNumId w:val="4"/>
  </w:num>
  <w:num w:numId="2">
    <w:abstractNumId w:val="14"/>
  </w:num>
  <w:num w:numId="3">
    <w:abstractNumId w:val="5"/>
  </w:num>
  <w:num w:numId="4">
    <w:abstractNumId w:val="10"/>
  </w:num>
  <w:num w:numId="5">
    <w:abstractNumId w:val="17"/>
  </w:num>
  <w:num w:numId="6">
    <w:abstractNumId w:val="23"/>
  </w:num>
  <w:num w:numId="7">
    <w:abstractNumId w:val="20"/>
  </w:num>
  <w:num w:numId="8">
    <w:abstractNumId w:val="19"/>
  </w:num>
  <w:num w:numId="9">
    <w:abstractNumId w:val="25"/>
  </w:num>
  <w:num w:numId="10">
    <w:abstractNumId w:val="7"/>
  </w:num>
  <w:num w:numId="11">
    <w:abstractNumId w:val="16"/>
  </w:num>
  <w:num w:numId="12">
    <w:abstractNumId w:val="26"/>
  </w:num>
  <w:num w:numId="13">
    <w:abstractNumId w:val="11"/>
  </w:num>
  <w:num w:numId="14">
    <w:abstractNumId w:val="22"/>
  </w:num>
  <w:num w:numId="15">
    <w:abstractNumId w:val="1"/>
  </w:num>
  <w:num w:numId="16">
    <w:abstractNumId w:val="15"/>
  </w:num>
  <w:num w:numId="17">
    <w:abstractNumId w:val="24"/>
  </w:num>
  <w:num w:numId="18">
    <w:abstractNumId w:val="8"/>
  </w:num>
  <w:num w:numId="19">
    <w:abstractNumId w:val="21"/>
  </w:num>
  <w:num w:numId="20">
    <w:abstractNumId w:val="2"/>
  </w:num>
  <w:num w:numId="21">
    <w:abstractNumId w:val="0"/>
  </w:num>
  <w:num w:numId="22">
    <w:abstractNumId w:val="3"/>
  </w:num>
  <w:num w:numId="23">
    <w:abstractNumId w:val="18"/>
  </w:num>
  <w:num w:numId="24">
    <w:abstractNumId w:val="13"/>
  </w:num>
  <w:num w:numId="25">
    <w:abstractNumId w:val="9"/>
  </w:num>
  <w:num w:numId="26">
    <w:abstractNumId w:val="6"/>
  </w:num>
  <w:num w:numId="27">
    <w:abstractNumId w:val="27"/>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revisionView w:inkAnnotations="0"/>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7A5"/>
    <w:rsid w:val="002A695D"/>
    <w:rsid w:val="003477A5"/>
    <w:rsid w:val="00367FE7"/>
    <w:rsid w:val="00375B45"/>
    <w:rsid w:val="00551192"/>
    <w:rsid w:val="0063516A"/>
    <w:rsid w:val="006F7530"/>
    <w:rsid w:val="007D548C"/>
    <w:rsid w:val="008703AC"/>
    <w:rsid w:val="00875267"/>
    <w:rsid w:val="00A67CBF"/>
    <w:rsid w:val="00DD4245"/>
    <w:rsid w:val="00EB2B2E"/>
    <w:rsid w:val="00F81D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04F446-431B-4C5A-AC12-21F6BDA4C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suppressAutoHyphens/>
    </w:pPr>
    <w:rPr>
      <w:sz w:val="24"/>
      <w:szCs w:val="24"/>
    </w:rPr>
  </w:style>
  <w:style w:type="paragraph" w:styleId="Heading1">
    <w:name w:val="heading 1"/>
    <w:basedOn w:val="Normal"/>
    <w:pPr>
      <w:outlineLvl w:val="0"/>
    </w:pPr>
    <w:rPr>
      <w:rFonts w:ascii="inherit" w:hAnsi="inherit"/>
      <w:kern w:val="3"/>
      <w:sz w:val="54"/>
      <w:szCs w:val="54"/>
    </w:rPr>
  </w:style>
  <w:style w:type="paragraph" w:styleId="Heading2">
    <w:name w:val="heading 2"/>
    <w:basedOn w:val="Normal"/>
    <w:pPr>
      <w:outlineLvl w:val="1"/>
    </w:pPr>
    <w:rPr>
      <w:rFonts w:ascii="inherit" w:hAnsi="inherit"/>
      <w:sz w:val="45"/>
      <w:szCs w:val="45"/>
    </w:rPr>
  </w:style>
  <w:style w:type="paragraph" w:styleId="Heading3">
    <w:name w:val="heading 3"/>
    <w:basedOn w:val="Normal"/>
    <w:pPr>
      <w:outlineLvl w:val="2"/>
    </w:pPr>
    <w:rPr>
      <w:rFonts w:ascii="inherit" w:hAnsi="inherit"/>
      <w:sz w:val="36"/>
      <w:szCs w:val="36"/>
    </w:rPr>
  </w:style>
  <w:style w:type="paragraph" w:styleId="Heading4">
    <w:name w:val="heading 4"/>
    <w:basedOn w:val="Normal"/>
    <w:pPr>
      <w:spacing w:before="150" w:after="150"/>
      <w:outlineLvl w:val="3"/>
    </w:pPr>
    <w:rPr>
      <w:rFonts w:ascii="inherit" w:hAnsi="inherit"/>
      <w:sz w:val="27"/>
      <w:szCs w:val="27"/>
    </w:rPr>
  </w:style>
  <w:style w:type="paragraph" w:styleId="Heading5">
    <w:name w:val="heading 5"/>
    <w:basedOn w:val="Normal"/>
    <w:pPr>
      <w:spacing w:before="150" w:after="150"/>
      <w:outlineLvl w:val="4"/>
    </w:pPr>
    <w:rPr>
      <w:rFonts w:ascii="inherit" w:hAnsi="inherit"/>
      <w:sz w:val="21"/>
      <w:szCs w:val="21"/>
    </w:rPr>
  </w:style>
  <w:style w:type="paragraph" w:styleId="Heading6">
    <w:name w:val="heading 6"/>
    <w:basedOn w:val="Normal"/>
    <w:pPr>
      <w:spacing w:before="150" w:after="150"/>
      <w:outlineLvl w:val="5"/>
    </w:pPr>
    <w:rPr>
      <w:rFonts w:ascii="inherit" w:hAnsi="inherit"/>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strike w:val="0"/>
      <w:dstrike w:val="0"/>
      <w:color w:val="428BCA"/>
      <w:u w:val="none"/>
    </w:rPr>
  </w:style>
  <w:style w:type="character" w:styleId="FollowedHyperlink">
    <w:name w:val="FollowedHyperlink"/>
    <w:basedOn w:val="DefaultParagraphFont"/>
    <w:rPr>
      <w:strike w:val="0"/>
      <w:dstrike w:val="0"/>
      <w:color w:val="428BCA"/>
      <w:u w:val="none"/>
    </w:rPr>
  </w:style>
  <w:style w:type="paragraph" w:styleId="HTMLAddress">
    <w:name w:val="HTML Address"/>
    <w:basedOn w:val="Normal"/>
    <w:pPr>
      <w:spacing w:after="300"/>
    </w:pPr>
  </w:style>
  <w:style w:type="character" w:customStyle="1" w:styleId="HTMLAddressChar">
    <w:name w:val="HTML Address Char"/>
    <w:basedOn w:val="DefaultParagraphFont"/>
    <w:rPr>
      <w:rFonts w:eastAsia="Times New Roman"/>
      <w:i/>
      <w:iCs/>
      <w:sz w:val="24"/>
      <w:szCs w:val="24"/>
    </w:rPr>
  </w:style>
  <w:style w:type="character" w:styleId="HTMLCite">
    <w:name w:val="HTML Cite"/>
    <w:basedOn w:val="DefaultParagraphFont"/>
    <w:rPr>
      <w:i w:val="0"/>
      <w:iCs w:val="0"/>
    </w:rPr>
  </w:style>
  <w:style w:type="character" w:styleId="HTMLCode">
    <w:name w:val="HTML Code"/>
    <w:basedOn w:val="DefaultParagraphFont"/>
    <w:rPr>
      <w:rFonts w:ascii="Consolas" w:eastAsia="Times New Roman" w:hAnsi="Consolas" w:cs="Consolas"/>
      <w:color w:val="C7254E"/>
      <w:sz w:val="22"/>
      <w:szCs w:val="22"/>
      <w:shd w:val="clear" w:color="auto" w:fill="F9F2F4"/>
    </w:rPr>
  </w:style>
  <w:style w:type="character" w:styleId="HTMLDefinition">
    <w:name w:val="HTML Definition"/>
    <w:basedOn w:val="DefaultParagraphFont"/>
    <w:rPr>
      <w:i/>
      <w:iCs/>
    </w:rPr>
  </w:style>
  <w:style w:type="character" w:customStyle="1" w:styleId="Heading1Char">
    <w:name w:val="Heading 1 Char"/>
    <w:basedOn w:val="DefaultParagraphFont"/>
    <w:rPr>
      <w:rFonts w:ascii="Calibri Light" w:eastAsia="Times New Roman" w:hAnsi="Calibri Light" w:cs="Times New Roman"/>
      <w:color w:val="2E74B5"/>
      <w:sz w:val="32"/>
      <w:szCs w:val="32"/>
    </w:rPr>
  </w:style>
  <w:style w:type="character" w:customStyle="1" w:styleId="Heading2Char">
    <w:name w:val="Heading 2 Char"/>
    <w:basedOn w:val="DefaultParagraphFont"/>
    <w:rPr>
      <w:rFonts w:ascii="Calibri Light" w:eastAsia="Times New Roman" w:hAnsi="Calibri Light" w:cs="Times New Roman"/>
      <w:color w:val="2E74B5"/>
      <w:sz w:val="26"/>
      <w:szCs w:val="26"/>
    </w:rPr>
  </w:style>
  <w:style w:type="character" w:customStyle="1" w:styleId="Heading3Char">
    <w:name w:val="Heading 3 Char"/>
    <w:basedOn w:val="DefaultParagraphFont"/>
    <w:rPr>
      <w:rFonts w:ascii="Calibri Light" w:eastAsia="Times New Roman" w:hAnsi="Calibri Light" w:cs="Times New Roman"/>
      <w:color w:val="1F4D78"/>
      <w:sz w:val="24"/>
      <w:szCs w:val="24"/>
    </w:rPr>
  </w:style>
  <w:style w:type="character" w:customStyle="1" w:styleId="Heading4Char">
    <w:name w:val="Heading 4 Char"/>
    <w:basedOn w:val="DefaultParagraphFont"/>
    <w:rPr>
      <w:rFonts w:ascii="Calibri Light" w:eastAsia="Times New Roman" w:hAnsi="Calibri Light" w:cs="Times New Roman"/>
      <w:i/>
      <w:iCs/>
      <w:color w:val="2E74B5"/>
      <w:sz w:val="24"/>
      <w:szCs w:val="24"/>
    </w:rPr>
  </w:style>
  <w:style w:type="character" w:customStyle="1" w:styleId="Heading5Char">
    <w:name w:val="Heading 5 Char"/>
    <w:basedOn w:val="DefaultParagraphFont"/>
    <w:rPr>
      <w:rFonts w:ascii="Calibri Light" w:eastAsia="Times New Roman" w:hAnsi="Calibri Light" w:cs="Times New Roman"/>
      <w:color w:val="2E74B5"/>
      <w:sz w:val="24"/>
      <w:szCs w:val="24"/>
    </w:rPr>
  </w:style>
  <w:style w:type="character" w:customStyle="1" w:styleId="Heading6Char">
    <w:name w:val="Heading 6 Char"/>
    <w:basedOn w:val="DefaultParagraphFont"/>
    <w:rPr>
      <w:rFonts w:ascii="Calibri Light" w:eastAsia="Times New Roman" w:hAnsi="Calibri Light" w:cs="Times New Roman"/>
      <w:color w:val="1F4D78"/>
      <w:sz w:val="24"/>
      <w:szCs w:val="24"/>
    </w:rPr>
  </w:style>
  <w:style w:type="character" w:styleId="HTMLKeyboard">
    <w:name w:val="HTML Keyboard"/>
    <w:basedOn w:val="DefaultParagraphFont"/>
    <w:rPr>
      <w:rFonts w:ascii="Consolas" w:eastAsia="Times New Roman" w:hAnsi="Consolas" w:cs="Consolas"/>
      <w:color w:val="FFFFFF"/>
      <w:sz w:val="22"/>
      <w:szCs w:val="22"/>
      <w:shd w:val="clear" w:color="auto" w:fill="333333"/>
    </w:rPr>
  </w:style>
  <w:style w:type="paragraph" w:styleId="HTMLPreformatted">
    <w:name w:val="HTML Preformatted"/>
    <w:basedOn w:val="Normal"/>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pPr>
    <w:rPr>
      <w:rFonts w:ascii="Consolas" w:hAnsi="Consolas" w:cs="Consolas"/>
      <w:color w:val="333333"/>
      <w:sz w:val="20"/>
      <w:szCs w:val="20"/>
    </w:rPr>
  </w:style>
  <w:style w:type="character" w:customStyle="1" w:styleId="HTMLPreformattedChar">
    <w:name w:val="HTML Preformatted Char"/>
    <w:basedOn w:val="DefaultParagraphFont"/>
    <w:rPr>
      <w:rFonts w:ascii="Consolas" w:eastAsia="Times New Roman" w:hAnsi="Consolas" w:cs="Consolas"/>
    </w:rPr>
  </w:style>
  <w:style w:type="character" w:styleId="HTMLSample">
    <w:name w:val="HTML Sample"/>
    <w:basedOn w:val="DefaultParagraphFont"/>
    <w:rPr>
      <w:rFonts w:ascii="Consolas" w:eastAsia="Times New Roman" w:hAnsi="Consolas" w:cs="Consolas"/>
      <w:sz w:val="24"/>
      <w:szCs w:val="24"/>
    </w:rPr>
  </w:style>
  <w:style w:type="character" w:styleId="Strong">
    <w:name w:val="Strong"/>
    <w:basedOn w:val="DefaultParagraphFont"/>
    <w:rPr>
      <w:b/>
      <w:bCs/>
    </w:rPr>
  </w:style>
  <w:style w:type="paragraph" w:styleId="NormalWeb">
    <w:name w:val="Normal (Web)"/>
    <w:basedOn w:val="Normal"/>
    <w:pPr>
      <w:spacing w:after="150"/>
    </w:pPr>
  </w:style>
  <w:style w:type="paragraph" w:customStyle="1" w:styleId="img-thumbnail">
    <w:name w:val="img-thumbnail"/>
    <w:basedOn w:val="Normal"/>
    <w:pPr>
      <w:pBdr>
        <w:top w:val="single" w:sz="6" w:space="3" w:color="DDDDDD"/>
        <w:left w:val="single" w:sz="6" w:space="3" w:color="DDDDDD"/>
        <w:bottom w:val="single" w:sz="6" w:space="3" w:color="DDDDDD"/>
        <w:right w:val="single" w:sz="6" w:space="3" w:color="DDDDDD"/>
      </w:pBdr>
      <w:shd w:val="clear" w:color="auto" w:fill="FFFFFF"/>
      <w:spacing w:after="150"/>
    </w:pPr>
  </w:style>
  <w:style w:type="paragraph" w:customStyle="1" w:styleId="sr-only">
    <w:name w:val="sr-only"/>
    <w:basedOn w:val="Normal"/>
    <w:pPr>
      <w:ind w:left="-15" w:right="-15"/>
    </w:pPr>
  </w:style>
  <w:style w:type="paragraph" w:customStyle="1" w:styleId="h1">
    <w:name w:val="h1"/>
    <w:basedOn w:val="Normal"/>
    <w:rPr>
      <w:rFonts w:ascii="inherit" w:hAnsi="inherit"/>
      <w:sz w:val="54"/>
      <w:szCs w:val="54"/>
    </w:rPr>
  </w:style>
  <w:style w:type="paragraph" w:customStyle="1" w:styleId="h2">
    <w:name w:val="h2"/>
    <w:basedOn w:val="Normal"/>
    <w:rPr>
      <w:rFonts w:ascii="inherit" w:hAnsi="inherit"/>
      <w:sz w:val="45"/>
      <w:szCs w:val="45"/>
    </w:rPr>
  </w:style>
  <w:style w:type="paragraph" w:customStyle="1" w:styleId="h3">
    <w:name w:val="h3"/>
    <w:basedOn w:val="Normal"/>
    <w:rPr>
      <w:rFonts w:ascii="inherit" w:hAnsi="inherit"/>
      <w:sz w:val="36"/>
      <w:szCs w:val="36"/>
    </w:rPr>
  </w:style>
  <w:style w:type="paragraph" w:customStyle="1" w:styleId="h4">
    <w:name w:val="h4"/>
    <w:basedOn w:val="Normal"/>
    <w:pPr>
      <w:spacing w:before="150" w:after="150"/>
    </w:pPr>
    <w:rPr>
      <w:rFonts w:ascii="inherit" w:hAnsi="inherit"/>
      <w:sz w:val="27"/>
      <w:szCs w:val="27"/>
    </w:rPr>
  </w:style>
  <w:style w:type="paragraph" w:customStyle="1" w:styleId="h5">
    <w:name w:val="h5"/>
    <w:basedOn w:val="Normal"/>
    <w:pPr>
      <w:spacing w:before="150" w:after="150"/>
    </w:pPr>
    <w:rPr>
      <w:rFonts w:ascii="inherit" w:hAnsi="inherit"/>
      <w:sz w:val="21"/>
      <w:szCs w:val="21"/>
    </w:rPr>
  </w:style>
  <w:style w:type="paragraph" w:customStyle="1" w:styleId="h6">
    <w:name w:val="h6"/>
    <w:basedOn w:val="Normal"/>
    <w:pPr>
      <w:spacing w:before="150" w:after="150"/>
    </w:pPr>
    <w:rPr>
      <w:rFonts w:ascii="inherit" w:hAnsi="inherit"/>
      <w:sz w:val="18"/>
      <w:szCs w:val="18"/>
    </w:rPr>
  </w:style>
  <w:style w:type="paragraph" w:customStyle="1" w:styleId="lead">
    <w:name w:val="lead"/>
    <w:basedOn w:val="Normal"/>
    <w:pPr>
      <w:spacing w:after="300"/>
    </w:pPr>
  </w:style>
  <w:style w:type="paragraph" w:customStyle="1" w:styleId="small">
    <w:name w:val="small"/>
    <w:basedOn w:val="Normal"/>
    <w:pPr>
      <w:spacing w:after="150"/>
    </w:pPr>
    <w:rPr>
      <w:sz w:val="20"/>
      <w:szCs w:val="20"/>
    </w:rPr>
  </w:style>
  <w:style w:type="paragraph" w:customStyle="1" w:styleId="text-left">
    <w:name w:val="text-left"/>
    <w:basedOn w:val="Normal"/>
    <w:pPr>
      <w:spacing w:after="150"/>
    </w:pPr>
  </w:style>
  <w:style w:type="paragraph" w:customStyle="1" w:styleId="text-right">
    <w:name w:val="text-right"/>
    <w:basedOn w:val="Normal"/>
    <w:pPr>
      <w:spacing w:after="150"/>
      <w:jc w:val="right"/>
    </w:pPr>
  </w:style>
  <w:style w:type="paragraph" w:customStyle="1" w:styleId="text-center">
    <w:name w:val="text-center"/>
    <w:basedOn w:val="Normal"/>
    <w:pPr>
      <w:spacing w:after="150"/>
      <w:jc w:val="center"/>
    </w:pPr>
  </w:style>
  <w:style w:type="paragraph" w:customStyle="1" w:styleId="text-justify">
    <w:name w:val="text-justify"/>
    <w:basedOn w:val="Normal"/>
    <w:pPr>
      <w:spacing w:after="150"/>
      <w:jc w:val="both"/>
    </w:pPr>
  </w:style>
  <w:style w:type="paragraph" w:customStyle="1" w:styleId="text-muted">
    <w:name w:val="text-muted"/>
    <w:basedOn w:val="Normal"/>
    <w:pPr>
      <w:spacing w:after="150"/>
    </w:pPr>
    <w:rPr>
      <w:color w:val="999999"/>
    </w:rPr>
  </w:style>
  <w:style w:type="paragraph" w:customStyle="1" w:styleId="text-primary">
    <w:name w:val="text-primary"/>
    <w:basedOn w:val="Normal"/>
    <w:pPr>
      <w:spacing w:after="150"/>
    </w:pPr>
    <w:rPr>
      <w:color w:val="428BCA"/>
    </w:rPr>
  </w:style>
  <w:style w:type="paragraph" w:customStyle="1" w:styleId="text-success">
    <w:name w:val="text-success"/>
    <w:basedOn w:val="Normal"/>
    <w:pPr>
      <w:spacing w:after="150"/>
    </w:pPr>
    <w:rPr>
      <w:color w:val="3C763D"/>
    </w:rPr>
  </w:style>
  <w:style w:type="paragraph" w:customStyle="1" w:styleId="text-info">
    <w:name w:val="text-info"/>
    <w:basedOn w:val="Normal"/>
    <w:pPr>
      <w:spacing w:after="150"/>
    </w:pPr>
    <w:rPr>
      <w:color w:val="31708F"/>
    </w:rPr>
  </w:style>
  <w:style w:type="paragraph" w:customStyle="1" w:styleId="text-warning">
    <w:name w:val="text-warning"/>
    <w:basedOn w:val="Normal"/>
    <w:pPr>
      <w:spacing w:after="150"/>
    </w:pPr>
    <w:rPr>
      <w:color w:val="8A6D3B"/>
    </w:rPr>
  </w:style>
  <w:style w:type="paragraph" w:customStyle="1" w:styleId="text-danger">
    <w:name w:val="text-danger"/>
    <w:basedOn w:val="Normal"/>
    <w:pPr>
      <w:spacing w:after="150"/>
    </w:pPr>
    <w:rPr>
      <w:color w:val="A94442"/>
    </w:rPr>
  </w:style>
  <w:style w:type="paragraph" w:customStyle="1" w:styleId="bg-primary">
    <w:name w:val="bg-primary"/>
    <w:basedOn w:val="Normal"/>
    <w:pPr>
      <w:shd w:val="clear" w:color="auto" w:fill="428BCA"/>
      <w:spacing w:after="150"/>
    </w:pPr>
    <w:rPr>
      <w:color w:val="FFFFFF"/>
    </w:rPr>
  </w:style>
  <w:style w:type="paragraph" w:customStyle="1" w:styleId="bg-success">
    <w:name w:val="bg-success"/>
    <w:basedOn w:val="Normal"/>
    <w:pPr>
      <w:shd w:val="clear" w:color="auto" w:fill="DFF0D8"/>
      <w:spacing w:after="150"/>
    </w:pPr>
  </w:style>
  <w:style w:type="paragraph" w:customStyle="1" w:styleId="bg-info">
    <w:name w:val="bg-info"/>
    <w:basedOn w:val="Normal"/>
    <w:pPr>
      <w:shd w:val="clear" w:color="auto" w:fill="D9EDF7"/>
      <w:spacing w:after="150"/>
    </w:pPr>
  </w:style>
  <w:style w:type="paragraph" w:customStyle="1" w:styleId="bg-warning">
    <w:name w:val="bg-warning"/>
    <w:basedOn w:val="Normal"/>
    <w:pPr>
      <w:shd w:val="clear" w:color="auto" w:fill="FCF8E3"/>
      <w:spacing w:after="150"/>
    </w:pPr>
  </w:style>
  <w:style w:type="paragraph" w:customStyle="1" w:styleId="bg-danger">
    <w:name w:val="bg-danger"/>
    <w:basedOn w:val="Normal"/>
    <w:pPr>
      <w:shd w:val="clear" w:color="auto" w:fill="F2DEDE"/>
      <w:spacing w:after="150"/>
    </w:pPr>
  </w:style>
  <w:style w:type="paragraph" w:customStyle="1" w:styleId="page-header">
    <w:name w:val="page-header"/>
    <w:basedOn w:val="Normal"/>
    <w:pPr>
      <w:pBdr>
        <w:bottom w:val="single" w:sz="6" w:space="7" w:color="EEEEEE"/>
      </w:pBdr>
      <w:spacing w:before="600" w:after="300"/>
    </w:pPr>
  </w:style>
  <w:style w:type="paragraph" w:customStyle="1" w:styleId="list-unstyled">
    <w:name w:val="list-unstyled"/>
    <w:basedOn w:val="Normal"/>
    <w:pPr>
      <w:spacing w:after="150"/>
    </w:pPr>
  </w:style>
  <w:style w:type="paragraph" w:customStyle="1" w:styleId="list-inline">
    <w:name w:val="list-inline"/>
    <w:basedOn w:val="Normal"/>
    <w:pPr>
      <w:spacing w:after="150"/>
      <w:ind w:left="-75"/>
    </w:pPr>
  </w:style>
  <w:style w:type="paragraph" w:customStyle="1" w:styleId="list-inlineli">
    <w:name w:val="list-inline&gt;li"/>
    <w:basedOn w:val="Normal"/>
    <w:pPr>
      <w:spacing w:after="150"/>
    </w:pPr>
  </w:style>
  <w:style w:type="paragraph" w:customStyle="1" w:styleId="initialism">
    <w:name w:val="initialism"/>
    <w:basedOn w:val="Normal"/>
    <w:pPr>
      <w:spacing w:after="150"/>
    </w:pPr>
    <w:rPr>
      <w:caps/>
      <w:sz w:val="22"/>
      <w:szCs w:val="22"/>
    </w:rPr>
  </w:style>
  <w:style w:type="paragraph" w:customStyle="1" w:styleId="blockquote-reverse">
    <w:name w:val="blockquote-reverse"/>
    <w:basedOn w:val="Normal"/>
    <w:pPr>
      <w:pBdr>
        <w:right w:val="single" w:sz="36" w:space="11" w:color="EEEEEE"/>
      </w:pBdr>
      <w:spacing w:after="150"/>
      <w:jc w:val="right"/>
    </w:pPr>
  </w:style>
  <w:style w:type="paragraph" w:customStyle="1" w:styleId="container">
    <w:name w:val="container"/>
    <w:basedOn w:val="Normal"/>
    <w:pPr>
      <w:spacing w:after="150"/>
    </w:pPr>
  </w:style>
  <w:style w:type="paragraph" w:customStyle="1" w:styleId="container-fluid">
    <w:name w:val="container-fluid"/>
    <w:basedOn w:val="Normal"/>
    <w:pPr>
      <w:spacing w:after="150"/>
    </w:pPr>
  </w:style>
  <w:style w:type="paragraph" w:customStyle="1" w:styleId="row">
    <w:name w:val="row"/>
    <w:basedOn w:val="Normal"/>
    <w:pPr>
      <w:spacing w:after="150"/>
      <w:ind w:left="-225" w:right="-225"/>
    </w:pPr>
  </w:style>
  <w:style w:type="paragraph" w:customStyle="1" w:styleId="col-xs-1">
    <w:name w:val="col-xs-1"/>
    <w:basedOn w:val="Normal"/>
    <w:pPr>
      <w:spacing w:after="150"/>
    </w:pPr>
  </w:style>
  <w:style w:type="paragraph" w:customStyle="1" w:styleId="col-sm-1">
    <w:name w:val="col-sm-1"/>
    <w:basedOn w:val="Normal"/>
    <w:pPr>
      <w:spacing w:after="150"/>
    </w:pPr>
  </w:style>
  <w:style w:type="paragraph" w:customStyle="1" w:styleId="col-md-1">
    <w:name w:val="col-md-1"/>
    <w:basedOn w:val="Normal"/>
    <w:pPr>
      <w:spacing w:after="150"/>
    </w:pPr>
  </w:style>
  <w:style w:type="paragraph" w:customStyle="1" w:styleId="col-lg-1">
    <w:name w:val="col-lg-1"/>
    <w:basedOn w:val="Normal"/>
    <w:pPr>
      <w:spacing w:after="150"/>
    </w:pPr>
  </w:style>
  <w:style w:type="paragraph" w:customStyle="1" w:styleId="col-xs-2">
    <w:name w:val="col-xs-2"/>
    <w:basedOn w:val="Normal"/>
    <w:pPr>
      <w:spacing w:after="150"/>
    </w:pPr>
  </w:style>
  <w:style w:type="paragraph" w:customStyle="1" w:styleId="col-sm-2">
    <w:name w:val="col-sm-2"/>
    <w:basedOn w:val="Normal"/>
    <w:pPr>
      <w:spacing w:after="150"/>
    </w:pPr>
  </w:style>
  <w:style w:type="paragraph" w:customStyle="1" w:styleId="col-md-2">
    <w:name w:val="col-md-2"/>
    <w:basedOn w:val="Normal"/>
    <w:pPr>
      <w:spacing w:after="150"/>
    </w:pPr>
  </w:style>
  <w:style w:type="paragraph" w:customStyle="1" w:styleId="col-lg-2">
    <w:name w:val="col-lg-2"/>
    <w:basedOn w:val="Normal"/>
    <w:pPr>
      <w:spacing w:after="150"/>
    </w:pPr>
  </w:style>
  <w:style w:type="paragraph" w:customStyle="1" w:styleId="col-xs-3">
    <w:name w:val="col-xs-3"/>
    <w:basedOn w:val="Normal"/>
    <w:pPr>
      <w:spacing w:after="150"/>
    </w:pPr>
  </w:style>
  <w:style w:type="paragraph" w:customStyle="1" w:styleId="col-sm-3">
    <w:name w:val="col-sm-3"/>
    <w:basedOn w:val="Normal"/>
    <w:pPr>
      <w:spacing w:after="150"/>
    </w:pPr>
  </w:style>
  <w:style w:type="paragraph" w:customStyle="1" w:styleId="col-md-3">
    <w:name w:val="col-md-3"/>
    <w:basedOn w:val="Normal"/>
    <w:pPr>
      <w:spacing w:after="150"/>
    </w:pPr>
  </w:style>
  <w:style w:type="paragraph" w:customStyle="1" w:styleId="col-lg-3">
    <w:name w:val="col-lg-3"/>
    <w:basedOn w:val="Normal"/>
    <w:pPr>
      <w:spacing w:after="150"/>
    </w:pPr>
  </w:style>
  <w:style w:type="paragraph" w:customStyle="1" w:styleId="col-xs-4">
    <w:name w:val="col-xs-4"/>
    <w:basedOn w:val="Normal"/>
    <w:pPr>
      <w:spacing w:after="150"/>
    </w:pPr>
  </w:style>
  <w:style w:type="paragraph" w:customStyle="1" w:styleId="col-sm-4">
    <w:name w:val="col-sm-4"/>
    <w:basedOn w:val="Normal"/>
    <w:pPr>
      <w:spacing w:after="150"/>
    </w:pPr>
  </w:style>
  <w:style w:type="paragraph" w:customStyle="1" w:styleId="col-md-4">
    <w:name w:val="col-md-4"/>
    <w:basedOn w:val="Normal"/>
    <w:pPr>
      <w:spacing w:after="150"/>
    </w:pPr>
  </w:style>
  <w:style w:type="paragraph" w:customStyle="1" w:styleId="col-lg-4">
    <w:name w:val="col-lg-4"/>
    <w:basedOn w:val="Normal"/>
    <w:pPr>
      <w:spacing w:after="150"/>
    </w:pPr>
  </w:style>
  <w:style w:type="paragraph" w:customStyle="1" w:styleId="col-xs-5">
    <w:name w:val="col-xs-5"/>
    <w:basedOn w:val="Normal"/>
    <w:pPr>
      <w:spacing w:after="150"/>
    </w:pPr>
  </w:style>
  <w:style w:type="paragraph" w:customStyle="1" w:styleId="col-sm-5">
    <w:name w:val="col-sm-5"/>
    <w:basedOn w:val="Normal"/>
    <w:pPr>
      <w:spacing w:after="150"/>
    </w:pPr>
  </w:style>
  <w:style w:type="paragraph" w:customStyle="1" w:styleId="col-md-5">
    <w:name w:val="col-md-5"/>
    <w:basedOn w:val="Normal"/>
    <w:pPr>
      <w:spacing w:after="150"/>
    </w:pPr>
  </w:style>
  <w:style w:type="paragraph" w:customStyle="1" w:styleId="col-lg-5">
    <w:name w:val="col-lg-5"/>
    <w:basedOn w:val="Normal"/>
    <w:pPr>
      <w:spacing w:after="150"/>
    </w:pPr>
  </w:style>
  <w:style w:type="paragraph" w:customStyle="1" w:styleId="col-xs-6">
    <w:name w:val="col-xs-6"/>
    <w:basedOn w:val="Normal"/>
    <w:pPr>
      <w:spacing w:after="150"/>
    </w:pPr>
  </w:style>
  <w:style w:type="paragraph" w:customStyle="1" w:styleId="col-sm-6">
    <w:name w:val="col-sm-6"/>
    <w:basedOn w:val="Normal"/>
    <w:pPr>
      <w:spacing w:after="150"/>
    </w:pPr>
  </w:style>
  <w:style w:type="paragraph" w:customStyle="1" w:styleId="col-md-6">
    <w:name w:val="col-md-6"/>
    <w:basedOn w:val="Normal"/>
    <w:pPr>
      <w:spacing w:after="150"/>
    </w:pPr>
  </w:style>
  <w:style w:type="paragraph" w:customStyle="1" w:styleId="col-lg-6">
    <w:name w:val="col-lg-6"/>
    <w:basedOn w:val="Normal"/>
    <w:pPr>
      <w:spacing w:after="150"/>
    </w:pPr>
  </w:style>
  <w:style w:type="paragraph" w:customStyle="1" w:styleId="col-xs-7">
    <w:name w:val="col-xs-7"/>
    <w:basedOn w:val="Normal"/>
    <w:pPr>
      <w:spacing w:after="150"/>
    </w:pPr>
  </w:style>
  <w:style w:type="paragraph" w:customStyle="1" w:styleId="col-sm-7">
    <w:name w:val="col-sm-7"/>
    <w:basedOn w:val="Normal"/>
    <w:pPr>
      <w:spacing w:after="150"/>
    </w:pPr>
  </w:style>
  <w:style w:type="paragraph" w:customStyle="1" w:styleId="col-md-7">
    <w:name w:val="col-md-7"/>
    <w:basedOn w:val="Normal"/>
    <w:pPr>
      <w:spacing w:after="150"/>
    </w:pPr>
  </w:style>
  <w:style w:type="paragraph" w:customStyle="1" w:styleId="col-lg-7">
    <w:name w:val="col-lg-7"/>
    <w:basedOn w:val="Normal"/>
    <w:pPr>
      <w:spacing w:after="150"/>
    </w:pPr>
  </w:style>
  <w:style w:type="paragraph" w:customStyle="1" w:styleId="col-xs-8">
    <w:name w:val="col-xs-8"/>
    <w:basedOn w:val="Normal"/>
    <w:pPr>
      <w:spacing w:after="150"/>
    </w:pPr>
  </w:style>
  <w:style w:type="paragraph" w:customStyle="1" w:styleId="col-sm-8">
    <w:name w:val="col-sm-8"/>
    <w:basedOn w:val="Normal"/>
    <w:pPr>
      <w:spacing w:after="150"/>
    </w:pPr>
  </w:style>
  <w:style w:type="paragraph" w:customStyle="1" w:styleId="col-md-8">
    <w:name w:val="col-md-8"/>
    <w:basedOn w:val="Normal"/>
    <w:pPr>
      <w:spacing w:after="150"/>
    </w:pPr>
  </w:style>
  <w:style w:type="paragraph" w:customStyle="1" w:styleId="col-lg-8">
    <w:name w:val="col-lg-8"/>
    <w:basedOn w:val="Normal"/>
    <w:pPr>
      <w:spacing w:after="150"/>
    </w:pPr>
  </w:style>
  <w:style w:type="paragraph" w:customStyle="1" w:styleId="col-xs-9">
    <w:name w:val="col-xs-9"/>
    <w:basedOn w:val="Normal"/>
    <w:pPr>
      <w:spacing w:after="150"/>
    </w:pPr>
  </w:style>
  <w:style w:type="paragraph" w:customStyle="1" w:styleId="col-sm-9">
    <w:name w:val="col-sm-9"/>
    <w:basedOn w:val="Normal"/>
    <w:pPr>
      <w:spacing w:after="150"/>
    </w:pPr>
  </w:style>
  <w:style w:type="paragraph" w:customStyle="1" w:styleId="col-md-9">
    <w:name w:val="col-md-9"/>
    <w:basedOn w:val="Normal"/>
    <w:pPr>
      <w:spacing w:after="150"/>
    </w:pPr>
  </w:style>
  <w:style w:type="paragraph" w:customStyle="1" w:styleId="col-lg-9">
    <w:name w:val="col-lg-9"/>
    <w:basedOn w:val="Normal"/>
    <w:pPr>
      <w:spacing w:after="150"/>
    </w:pPr>
  </w:style>
  <w:style w:type="paragraph" w:customStyle="1" w:styleId="col-xs-10">
    <w:name w:val="col-xs-10"/>
    <w:basedOn w:val="Normal"/>
    <w:pPr>
      <w:spacing w:after="150"/>
    </w:pPr>
  </w:style>
  <w:style w:type="paragraph" w:customStyle="1" w:styleId="col-sm-10">
    <w:name w:val="col-sm-10"/>
    <w:basedOn w:val="Normal"/>
    <w:pPr>
      <w:spacing w:after="150"/>
    </w:pPr>
  </w:style>
  <w:style w:type="paragraph" w:customStyle="1" w:styleId="col-md-10">
    <w:name w:val="col-md-10"/>
    <w:basedOn w:val="Normal"/>
    <w:pPr>
      <w:spacing w:after="150"/>
    </w:pPr>
  </w:style>
  <w:style w:type="paragraph" w:customStyle="1" w:styleId="col-lg-10">
    <w:name w:val="col-lg-10"/>
    <w:basedOn w:val="Normal"/>
    <w:pPr>
      <w:spacing w:after="150"/>
    </w:pPr>
  </w:style>
  <w:style w:type="paragraph" w:customStyle="1" w:styleId="col-xs-11">
    <w:name w:val="col-xs-11"/>
    <w:basedOn w:val="Normal"/>
    <w:pPr>
      <w:spacing w:after="150"/>
    </w:pPr>
  </w:style>
  <w:style w:type="paragraph" w:customStyle="1" w:styleId="col-sm-11">
    <w:name w:val="col-sm-11"/>
    <w:basedOn w:val="Normal"/>
    <w:pPr>
      <w:spacing w:after="150"/>
    </w:pPr>
  </w:style>
  <w:style w:type="paragraph" w:customStyle="1" w:styleId="col-md-11">
    <w:name w:val="col-md-11"/>
    <w:basedOn w:val="Normal"/>
    <w:pPr>
      <w:spacing w:after="150"/>
    </w:pPr>
  </w:style>
  <w:style w:type="paragraph" w:customStyle="1" w:styleId="col-lg-11">
    <w:name w:val="col-lg-11"/>
    <w:basedOn w:val="Normal"/>
    <w:pPr>
      <w:spacing w:after="150"/>
    </w:pPr>
  </w:style>
  <w:style w:type="paragraph" w:customStyle="1" w:styleId="col-xs-12">
    <w:name w:val="col-xs-12"/>
    <w:basedOn w:val="Normal"/>
    <w:pPr>
      <w:spacing w:after="150"/>
    </w:pPr>
  </w:style>
  <w:style w:type="paragraph" w:customStyle="1" w:styleId="col-sm-12">
    <w:name w:val="col-sm-12"/>
    <w:basedOn w:val="Normal"/>
    <w:pPr>
      <w:spacing w:after="150"/>
    </w:pPr>
  </w:style>
  <w:style w:type="paragraph" w:customStyle="1" w:styleId="col-md-12">
    <w:name w:val="col-md-12"/>
    <w:basedOn w:val="Normal"/>
    <w:pPr>
      <w:spacing w:after="150"/>
    </w:pPr>
  </w:style>
  <w:style w:type="paragraph" w:customStyle="1" w:styleId="col-lg-12">
    <w:name w:val="col-lg-12"/>
    <w:basedOn w:val="Normal"/>
    <w:pPr>
      <w:spacing w:after="150"/>
    </w:pPr>
  </w:style>
  <w:style w:type="paragraph" w:customStyle="1" w:styleId="col-xs-offset-12">
    <w:name w:val="col-xs-offset-12"/>
    <w:basedOn w:val="Normal"/>
    <w:pPr>
      <w:spacing w:after="150"/>
      <w:ind w:left="11906"/>
    </w:pPr>
  </w:style>
  <w:style w:type="paragraph" w:customStyle="1" w:styleId="col-xs-offset-11">
    <w:name w:val="col-xs-offset-11"/>
    <w:basedOn w:val="Normal"/>
    <w:pPr>
      <w:spacing w:after="150"/>
      <w:ind w:left="10834"/>
    </w:pPr>
  </w:style>
  <w:style w:type="paragraph" w:customStyle="1" w:styleId="col-xs-offset-10">
    <w:name w:val="col-xs-offset-10"/>
    <w:basedOn w:val="Normal"/>
    <w:pPr>
      <w:spacing w:after="150"/>
      <w:ind w:left="9881"/>
    </w:pPr>
  </w:style>
  <w:style w:type="paragraph" w:customStyle="1" w:styleId="col-xs-offset-9">
    <w:name w:val="col-xs-offset-9"/>
    <w:basedOn w:val="Normal"/>
    <w:pPr>
      <w:spacing w:after="150"/>
      <w:ind w:left="8929"/>
    </w:pPr>
  </w:style>
  <w:style w:type="paragraph" w:customStyle="1" w:styleId="col-xs-offset-8">
    <w:name w:val="col-xs-offset-8"/>
    <w:basedOn w:val="Normal"/>
    <w:pPr>
      <w:spacing w:after="150"/>
      <w:ind w:left="7857"/>
    </w:pPr>
  </w:style>
  <w:style w:type="paragraph" w:customStyle="1" w:styleId="col-xs-offset-7">
    <w:name w:val="col-xs-offset-7"/>
    <w:basedOn w:val="Normal"/>
    <w:pPr>
      <w:spacing w:after="150"/>
      <w:ind w:left="6905"/>
    </w:pPr>
  </w:style>
  <w:style w:type="paragraph" w:customStyle="1" w:styleId="col-xs-offset-6">
    <w:name w:val="col-xs-offset-6"/>
    <w:basedOn w:val="Normal"/>
    <w:pPr>
      <w:spacing w:after="150"/>
      <w:ind w:left="5953"/>
    </w:pPr>
  </w:style>
  <w:style w:type="paragraph" w:customStyle="1" w:styleId="col-xs-offset-5">
    <w:name w:val="col-xs-offset-5"/>
    <w:basedOn w:val="Normal"/>
    <w:pPr>
      <w:spacing w:after="150"/>
      <w:ind w:left="4881"/>
    </w:pPr>
  </w:style>
  <w:style w:type="paragraph" w:customStyle="1" w:styleId="col-xs-offset-4">
    <w:name w:val="col-xs-offset-4"/>
    <w:basedOn w:val="Normal"/>
    <w:pPr>
      <w:spacing w:after="150"/>
      <w:ind w:left="3928"/>
    </w:pPr>
  </w:style>
  <w:style w:type="paragraph" w:customStyle="1" w:styleId="col-xs-offset-3">
    <w:name w:val="col-xs-offset-3"/>
    <w:basedOn w:val="Normal"/>
    <w:pPr>
      <w:spacing w:after="150"/>
      <w:ind w:left="2976"/>
    </w:pPr>
  </w:style>
  <w:style w:type="paragraph" w:customStyle="1" w:styleId="col-xs-offset-2">
    <w:name w:val="col-xs-offset-2"/>
    <w:basedOn w:val="Normal"/>
    <w:pPr>
      <w:spacing w:after="150"/>
      <w:ind w:left="1904"/>
    </w:pPr>
  </w:style>
  <w:style w:type="paragraph" w:customStyle="1" w:styleId="col-xs-offset-1">
    <w:name w:val="col-xs-offset-1"/>
    <w:basedOn w:val="Normal"/>
    <w:pPr>
      <w:spacing w:after="150"/>
      <w:ind w:left="952"/>
    </w:pPr>
  </w:style>
  <w:style w:type="paragraph" w:customStyle="1" w:styleId="col-xs-offset-0">
    <w:name w:val="col-xs-offset-0"/>
    <w:basedOn w:val="Normal"/>
    <w:pPr>
      <w:spacing w:after="150"/>
    </w:pPr>
  </w:style>
  <w:style w:type="paragraph" w:customStyle="1" w:styleId="table">
    <w:name w:val="table"/>
    <w:basedOn w:val="Normal"/>
    <w:pPr>
      <w:spacing w:after="300"/>
    </w:pPr>
  </w:style>
  <w:style w:type="paragraph" w:customStyle="1" w:styleId="tabletheadtrth">
    <w:name w:val="table&gt;thead&gt;tr&gt;th"/>
    <w:basedOn w:val="Normal"/>
    <w:pPr>
      <w:pBdr>
        <w:top w:val="single" w:sz="6" w:space="6" w:color="DDDDDD"/>
        <w:bottom w:val="single" w:sz="12" w:space="0" w:color="DDDDDD"/>
      </w:pBdr>
      <w:spacing w:after="150"/>
      <w:textAlignment w:val="bottom"/>
    </w:pPr>
  </w:style>
  <w:style w:type="paragraph" w:customStyle="1" w:styleId="tabletbodytrth">
    <w:name w:val="table&gt;tbody&gt;tr&gt;th"/>
    <w:basedOn w:val="Normal"/>
    <w:pPr>
      <w:pBdr>
        <w:top w:val="single" w:sz="6" w:space="6" w:color="DDDDDD"/>
      </w:pBdr>
      <w:spacing w:after="150"/>
      <w:textAlignment w:val="top"/>
    </w:pPr>
  </w:style>
  <w:style w:type="paragraph" w:customStyle="1" w:styleId="tabletfoottrth">
    <w:name w:val="table&gt;tfoot&gt;tr&gt;th"/>
    <w:basedOn w:val="Normal"/>
    <w:pPr>
      <w:pBdr>
        <w:top w:val="single" w:sz="6" w:space="6" w:color="DDDDDD"/>
      </w:pBdr>
      <w:spacing w:after="150"/>
      <w:textAlignment w:val="top"/>
    </w:pPr>
  </w:style>
  <w:style w:type="paragraph" w:customStyle="1" w:styleId="tabletheadtrtd">
    <w:name w:val="table&gt;thead&gt;tr&gt;td"/>
    <w:basedOn w:val="Normal"/>
    <w:pPr>
      <w:pBdr>
        <w:top w:val="single" w:sz="6" w:space="6" w:color="DDDDDD"/>
      </w:pBdr>
      <w:spacing w:after="150"/>
      <w:textAlignment w:val="top"/>
    </w:pPr>
  </w:style>
  <w:style w:type="paragraph" w:customStyle="1" w:styleId="tabletbodytrtd">
    <w:name w:val="table&gt;tbody&gt;tr&gt;td"/>
    <w:basedOn w:val="Normal"/>
    <w:pPr>
      <w:pBdr>
        <w:top w:val="single" w:sz="6" w:space="6" w:color="DDDDDD"/>
      </w:pBdr>
      <w:spacing w:after="150"/>
      <w:textAlignment w:val="top"/>
    </w:pPr>
  </w:style>
  <w:style w:type="paragraph" w:customStyle="1" w:styleId="tabletfoottrtd">
    <w:name w:val="table&gt;tfoot&gt;tr&gt;td"/>
    <w:basedOn w:val="Normal"/>
    <w:pPr>
      <w:pBdr>
        <w:top w:val="single" w:sz="6" w:space="6" w:color="DDDDDD"/>
      </w:pBdr>
      <w:spacing w:after="150"/>
      <w:textAlignment w:val="top"/>
    </w:pPr>
  </w:style>
  <w:style w:type="paragraph" w:customStyle="1" w:styleId="table-condensedtheadtrth">
    <w:name w:val="table-condensed&gt;thead&gt;tr&gt;th"/>
    <w:basedOn w:val="Normal"/>
    <w:pPr>
      <w:spacing w:after="150"/>
    </w:pPr>
  </w:style>
  <w:style w:type="paragraph" w:customStyle="1" w:styleId="table-condensedtbodytrth">
    <w:name w:val="table-condensed&gt;tbody&gt;tr&gt;th"/>
    <w:basedOn w:val="Normal"/>
    <w:pPr>
      <w:spacing w:after="150"/>
    </w:pPr>
  </w:style>
  <w:style w:type="paragraph" w:customStyle="1" w:styleId="table-condensedtfoottrth">
    <w:name w:val="table-condensed&gt;tfoot&gt;tr&gt;th"/>
    <w:basedOn w:val="Normal"/>
    <w:pPr>
      <w:spacing w:after="150"/>
    </w:pPr>
  </w:style>
  <w:style w:type="paragraph" w:customStyle="1" w:styleId="table-condensedtheadtrtd">
    <w:name w:val="table-condensed&gt;thead&gt;tr&gt;td"/>
    <w:basedOn w:val="Normal"/>
    <w:pPr>
      <w:spacing w:after="150"/>
    </w:pPr>
  </w:style>
  <w:style w:type="paragraph" w:customStyle="1" w:styleId="table-condensedtbodytrtd">
    <w:name w:val="table-condensed&gt;tbody&gt;tr&gt;td"/>
    <w:basedOn w:val="Normal"/>
    <w:pPr>
      <w:spacing w:after="150"/>
    </w:pPr>
  </w:style>
  <w:style w:type="paragraph" w:customStyle="1" w:styleId="table-condensedtfoottrtd">
    <w:name w:val="table-condensed&gt;tfoot&gt;tr&gt;td"/>
    <w:basedOn w:val="Normal"/>
    <w:pPr>
      <w:spacing w:after="150"/>
    </w:pPr>
  </w:style>
  <w:style w:type="paragraph" w:customStyle="1" w:styleId="table-bordered">
    <w:name w:val="table-bordered"/>
    <w:basedOn w:val="Normal"/>
    <w:pPr>
      <w:pBdr>
        <w:top w:val="single" w:sz="6" w:space="0" w:color="DDDDDD"/>
        <w:left w:val="single" w:sz="6" w:space="0" w:color="DDDDDD"/>
        <w:bottom w:val="single" w:sz="6" w:space="0" w:color="DDDDDD"/>
        <w:right w:val="single" w:sz="6" w:space="0" w:color="DDDDDD"/>
      </w:pBdr>
      <w:spacing w:after="150"/>
    </w:pPr>
  </w:style>
  <w:style w:type="paragraph" w:customStyle="1" w:styleId="table-borderedtheadtrth">
    <w:name w:val="table-bordered&gt;thead&gt;tr&gt;th"/>
    <w:basedOn w:val="Normal"/>
    <w:pPr>
      <w:pBdr>
        <w:top w:val="single" w:sz="6" w:space="0" w:color="DDDDDD"/>
        <w:left w:val="single" w:sz="6" w:space="0" w:color="DDDDDD"/>
        <w:bottom w:val="single" w:sz="6" w:space="0" w:color="DDDDDD"/>
        <w:right w:val="single" w:sz="6" w:space="0" w:color="DDDDDD"/>
      </w:pBdr>
      <w:spacing w:after="150"/>
    </w:pPr>
  </w:style>
  <w:style w:type="paragraph" w:customStyle="1" w:styleId="table-borderedtbodytrth">
    <w:name w:val="table-bordered&gt;tbody&gt;tr&gt;th"/>
    <w:basedOn w:val="Normal"/>
    <w:pPr>
      <w:pBdr>
        <w:top w:val="single" w:sz="6" w:space="0" w:color="DDDDDD"/>
        <w:left w:val="single" w:sz="6" w:space="0" w:color="DDDDDD"/>
        <w:bottom w:val="single" w:sz="6" w:space="0" w:color="DDDDDD"/>
        <w:right w:val="single" w:sz="6" w:space="0" w:color="DDDDDD"/>
      </w:pBdr>
      <w:spacing w:after="150"/>
    </w:pPr>
  </w:style>
  <w:style w:type="paragraph" w:customStyle="1" w:styleId="table-borderedtfoottrth">
    <w:name w:val="table-bordered&gt;tfoot&gt;tr&gt;th"/>
    <w:basedOn w:val="Normal"/>
    <w:pPr>
      <w:pBdr>
        <w:top w:val="single" w:sz="6" w:space="0" w:color="DDDDDD"/>
        <w:left w:val="single" w:sz="6" w:space="0" w:color="DDDDDD"/>
        <w:bottom w:val="single" w:sz="6" w:space="0" w:color="DDDDDD"/>
        <w:right w:val="single" w:sz="6" w:space="0" w:color="DDDDDD"/>
      </w:pBdr>
      <w:spacing w:after="150"/>
    </w:pPr>
  </w:style>
  <w:style w:type="paragraph" w:customStyle="1" w:styleId="table-borderedtheadtrtd">
    <w:name w:val="table-bordered&gt;thead&gt;tr&gt;td"/>
    <w:basedOn w:val="Normal"/>
    <w:pPr>
      <w:pBdr>
        <w:top w:val="single" w:sz="6" w:space="0" w:color="DDDDDD"/>
        <w:left w:val="single" w:sz="6" w:space="0" w:color="DDDDDD"/>
        <w:bottom w:val="single" w:sz="6" w:space="0" w:color="DDDDDD"/>
        <w:right w:val="single" w:sz="6" w:space="0" w:color="DDDDDD"/>
      </w:pBdr>
      <w:spacing w:after="150"/>
    </w:pPr>
  </w:style>
  <w:style w:type="paragraph" w:customStyle="1" w:styleId="table-borderedtbodytrtd">
    <w:name w:val="table-bordered&gt;tbody&gt;tr&gt;td"/>
    <w:basedOn w:val="Normal"/>
    <w:pPr>
      <w:pBdr>
        <w:top w:val="single" w:sz="6" w:space="0" w:color="DDDDDD"/>
        <w:left w:val="single" w:sz="6" w:space="0" w:color="DDDDDD"/>
        <w:bottom w:val="single" w:sz="6" w:space="0" w:color="DDDDDD"/>
        <w:right w:val="single" w:sz="6" w:space="0" w:color="DDDDDD"/>
      </w:pBdr>
      <w:spacing w:after="150"/>
    </w:pPr>
  </w:style>
  <w:style w:type="paragraph" w:customStyle="1" w:styleId="table-borderedtfoottrtd">
    <w:name w:val="table-bordered&gt;tfoot&gt;tr&gt;td"/>
    <w:basedOn w:val="Normal"/>
    <w:pPr>
      <w:pBdr>
        <w:top w:val="single" w:sz="6" w:space="0" w:color="DDDDDD"/>
        <w:left w:val="single" w:sz="6" w:space="0" w:color="DDDDDD"/>
        <w:bottom w:val="single" w:sz="6" w:space="0" w:color="DDDDDD"/>
        <w:right w:val="single" w:sz="6" w:space="0" w:color="DDDDDD"/>
      </w:pBdr>
      <w:spacing w:after="150"/>
    </w:pPr>
  </w:style>
  <w:style w:type="paragraph" w:customStyle="1" w:styleId="form-control">
    <w:name w:val="form-control"/>
    <w:basedOn w:val="Normal"/>
    <w:pPr>
      <w:pBdr>
        <w:top w:val="single" w:sz="6" w:space="5" w:color="CCCCCC"/>
        <w:left w:val="single" w:sz="6" w:space="9" w:color="CCCCCC"/>
        <w:bottom w:val="single" w:sz="6" w:space="5" w:color="CCCCCC"/>
        <w:right w:val="single" w:sz="6" w:space="9" w:color="CCCCCC"/>
      </w:pBdr>
      <w:shd w:val="clear" w:color="auto" w:fill="FFFFFF"/>
      <w:spacing w:after="150"/>
    </w:pPr>
    <w:rPr>
      <w:color w:val="555555"/>
      <w:sz w:val="21"/>
      <w:szCs w:val="21"/>
    </w:rPr>
  </w:style>
  <w:style w:type="paragraph" w:customStyle="1" w:styleId="form-group">
    <w:name w:val="form-group"/>
    <w:basedOn w:val="Normal"/>
    <w:pPr>
      <w:spacing w:after="225"/>
    </w:pPr>
  </w:style>
  <w:style w:type="paragraph" w:customStyle="1" w:styleId="radio">
    <w:name w:val="radio"/>
    <w:basedOn w:val="Normal"/>
    <w:pPr>
      <w:spacing w:before="150" w:after="150"/>
    </w:pPr>
  </w:style>
  <w:style w:type="paragraph" w:customStyle="1" w:styleId="checkbox">
    <w:name w:val="checkbox"/>
    <w:basedOn w:val="Normal"/>
    <w:pPr>
      <w:spacing w:before="150" w:after="150"/>
    </w:pPr>
  </w:style>
  <w:style w:type="paragraph" w:customStyle="1" w:styleId="radio-inline">
    <w:name w:val="radio-inline"/>
    <w:basedOn w:val="Normal"/>
    <w:pPr>
      <w:textAlignment w:val="center"/>
    </w:pPr>
  </w:style>
  <w:style w:type="paragraph" w:customStyle="1" w:styleId="checkbox-inline">
    <w:name w:val="checkbox-inline"/>
    <w:basedOn w:val="Normal"/>
    <w:pPr>
      <w:textAlignment w:val="center"/>
    </w:pPr>
  </w:style>
  <w:style w:type="paragraph" w:customStyle="1" w:styleId="input-sm">
    <w:name w:val="input-sm"/>
    <w:basedOn w:val="Normal"/>
    <w:pPr>
      <w:spacing w:after="150"/>
    </w:pPr>
    <w:rPr>
      <w:sz w:val="18"/>
      <w:szCs w:val="18"/>
    </w:rPr>
  </w:style>
  <w:style w:type="paragraph" w:customStyle="1" w:styleId="input-lg">
    <w:name w:val="input-lg"/>
    <w:basedOn w:val="Normal"/>
    <w:pPr>
      <w:spacing w:after="150"/>
    </w:pPr>
    <w:rPr>
      <w:sz w:val="27"/>
      <w:szCs w:val="27"/>
    </w:rPr>
  </w:style>
  <w:style w:type="paragraph" w:customStyle="1" w:styleId="form-control-static">
    <w:name w:val="form-control-static"/>
    <w:basedOn w:val="Normal"/>
  </w:style>
  <w:style w:type="paragraph" w:customStyle="1" w:styleId="help-block">
    <w:name w:val="help-block"/>
    <w:basedOn w:val="Normal"/>
    <w:pPr>
      <w:spacing w:before="75" w:after="150"/>
    </w:pPr>
    <w:rPr>
      <w:color w:val="737373"/>
    </w:rPr>
  </w:style>
  <w:style w:type="paragraph" w:customStyle="1" w:styleId="btn">
    <w:name w:val="btn"/>
    <w:basedOn w:val="Normal"/>
    <w:pPr>
      <w:jc w:val="center"/>
      <w:textAlignment w:val="center"/>
    </w:pPr>
    <w:rPr>
      <w:sz w:val="21"/>
      <w:szCs w:val="21"/>
    </w:rPr>
  </w:style>
  <w:style w:type="paragraph" w:customStyle="1" w:styleId="btn-default">
    <w:name w:val="btn-default"/>
    <w:basedOn w:val="Normal"/>
    <w:pPr>
      <w:shd w:val="clear" w:color="auto" w:fill="FFFFFF"/>
      <w:spacing w:after="150"/>
    </w:pPr>
    <w:rPr>
      <w:color w:val="333333"/>
    </w:rPr>
  </w:style>
  <w:style w:type="paragraph" w:customStyle="1" w:styleId="btn-primary">
    <w:name w:val="btn-primary"/>
    <w:basedOn w:val="Normal"/>
    <w:pPr>
      <w:shd w:val="clear" w:color="auto" w:fill="428BCA"/>
      <w:spacing w:after="150"/>
    </w:pPr>
    <w:rPr>
      <w:color w:val="FFFFFF"/>
    </w:rPr>
  </w:style>
  <w:style w:type="paragraph" w:customStyle="1" w:styleId="btn-success">
    <w:name w:val="btn-success"/>
    <w:basedOn w:val="Normal"/>
    <w:pPr>
      <w:shd w:val="clear" w:color="auto" w:fill="5CB85C"/>
      <w:spacing w:after="150"/>
    </w:pPr>
    <w:rPr>
      <w:color w:val="FFFFFF"/>
    </w:rPr>
  </w:style>
  <w:style w:type="paragraph" w:customStyle="1" w:styleId="btn-info">
    <w:name w:val="btn-info"/>
    <w:basedOn w:val="Normal"/>
    <w:pPr>
      <w:shd w:val="clear" w:color="auto" w:fill="5BC0DE"/>
      <w:spacing w:after="150"/>
    </w:pPr>
    <w:rPr>
      <w:color w:val="FFFFFF"/>
    </w:rPr>
  </w:style>
  <w:style w:type="paragraph" w:customStyle="1" w:styleId="btn-warning">
    <w:name w:val="btn-warning"/>
    <w:basedOn w:val="Normal"/>
    <w:pPr>
      <w:shd w:val="clear" w:color="auto" w:fill="F0AD4E"/>
      <w:spacing w:after="150"/>
    </w:pPr>
    <w:rPr>
      <w:color w:val="FFFFFF"/>
    </w:rPr>
  </w:style>
  <w:style w:type="paragraph" w:customStyle="1" w:styleId="btn-danger">
    <w:name w:val="btn-danger"/>
    <w:basedOn w:val="Normal"/>
    <w:pPr>
      <w:shd w:val="clear" w:color="auto" w:fill="D9534F"/>
      <w:spacing w:after="150"/>
    </w:pPr>
    <w:rPr>
      <w:color w:val="FFFFFF"/>
    </w:rPr>
  </w:style>
  <w:style w:type="paragraph" w:customStyle="1" w:styleId="btn-link">
    <w:name w:val="btn-link"/>
    <w:basedOn w:val="Normal"/>
    <w:pPr>
      <w:spacing w:after="150"/>
    </w:pPr>
    <w:rPr>
      <w:color w:val="428BCA"/>
    </w:rPr>
  </w:style>
  <w:style w:type="paragraph" w:customStyle="1" w:styleId="btn-block">
    <w:name w:val="btn-block"/>
    <w:basedOn w:val="Normal"/>
    <w:pPr>
      <w:spacing w:after="150"/>
    </w:pPr>
  </w:style>
  <w:style w:type="paragraph" w:customStyle="1" w:styleId="collapse">
    <w:name w:val="collapse"/>
    <w:basedOn w:val="Normal"/>
    <w:pPr>
      <w:spacing w:after="150"/>
    </w:pPr>
    <w:rPr>
      <w:vanish/>
    </w:rPr>
  </w:style>
  <w:style w:type="paragraph" w:customStyle="1" w:styleId="collapsing">
    <w:name w:val="collapsing"/>
    <w:basedOn w:val="Normal"/>
    <w:pPr>
      <w:spacing w:after="150"/>
    </w:pPr>
  </w:style>
  <w:style w:type="paragraph" w:customStyle="1" w:styleId="glyphicon">
    <w:name w:val="glyphicon"/>
    <w:basedOn w:val="Normal"/>
    <w:pPr>
      <w:spacing w:after="150"/>
    </w:pPr>
    <w:rPr>
      <w:rFonts w:ascii="Glyphicons Halflings" w:hAnsi="Glyphicons Halflings"/>
    </w:rPr>
  </w:style>
  <w:style w:type="paragraph" w:customStyle="1" w:styleId="caret">
    <w:name w:val="caret"/>
    <w:basedOn w:val="Normal"/>
    <w:pPr>
      <w:pBdr>
        <w:top w:val="single" w:sz="24" w:space="0" w:color="000000"/>
        <w:left w:val="single" w:sz="24" w:space="0" w:color="000000"/>
        <w:bottom w:val="single" w:sz="24" w:space="0" w:color="000000"/>
        <w:right w:val="single" w:sz="24" w:space="0" w:color="000000"/>
      </w:pBdr>
      <w:spacing w:after="150"/>
      <w:ind w:left="30"/>
      <w:textAlignment w:val="center"/>
    </w:pPr>
  </w:style>
  <w:style w:type="paragraph" w:customStyle="1" w:styleId="dropdown-menu">
    <w:name w:val="dropdown-menu"/>
    <w:basedOn w:val="Normal"/>
    <w:pPr>
      <w:pBdr>
        <w:top w:val="single" w:sz="6" w:space="4" w:color="CCCCCC"/>
        <w:left w:val="single" w:sz="6" w:space="0" w:color="CCCCCC"/>
        <w:bottom w:val="single" w:sz="6" w:space="4" w:color="CCCCCC"/>
        <w:right w:val="single" w:sz="6" w:space="0" w:color="CCCCCC"/>
      </w:pBdr>
      <w:shd w:val="clear" w:color="auto" w:fill="FFFFFF"/>
      <w:spacing w:before="30"/>
    </w:pPr>
    <w:rPr>
      <w:vanish/>
      <w:sz w:val="21"/>
      <w:szCs w:val="21"/>
    </w:rPr>
  </w:style>
  <w:style w:type="paragraph" w:customStyle="1" w:styleId="dropdown-menulia">
    <w:name w:val="dropdown-menu&gt;li&gt;a"/>
    <w:basedOn w:val="Normal"/>
    <w:pPr>
      <w:spacing w:after="150"/>
    </w:pPr>
    <w:rPr>
      <w:color w:val="333333"/>
    </w:rPr>
  </w:style>
  <w:style w:type="paragraph" w:customStyle="1" w:styleId="dropdown-header">
    <w:name w:val="dropdown-header"/>
    <w:basedOn w:val="Normal"/>
    <w:pPr>
      <w:spacing w:after="150"/>
    </w:pPr>
    <w:rPr>
      <w:color w:val="999999"/>
      <w:sz w:val="18"/>
      <w:szCs w:val="18"/>
    </w:rPr>
  </w:style>
  <w:style w:type="paragraph" w:customStyle="1" w:styleId="btn-group">
    <w:name w:val="btn-group"/>
    <w:basedOn w:val="Normal"/>
    <w:pPr>
      <w:spacing w:after="150"/>
      <w:textAlignment w:val="center"/>
    </w:pPr>
  </w:style>
  <w:style w:type="paragraph" w:customStyle="1" w:styleId="btn-group-vertical">
    <w:name w:val="btn-group-vertical"/>
    <w:basedOn w:val="Normal"/>
    <w:pPr>
      <w:spacing w:after="150"/>
      <w:textAlignment w:val="center"/>
    </w:pPr>
  </w:style>
  <w:style w:type="paragraph" w:customStyle="1" w:styleId="btn-toolbar">
    <w:name w:val="btn-toolbar"/>
    <w:basedOn w:val="Normal"/>
    <w:pPr>
      <w:spacing w:after="150"/>
      <w:ind w:left="-75"/>
    </w:pPr>
  </w:style>
  <w:style w:type="paragraph" w:customStyle="1" w:styleId="btn-group-justified">
    <w:name w:val="btn-group-justified"/>
    <w:basedOn w:val="Normal"/>
    <w:pPr>
      <w:spacing w:after="150"/>
    </w:pPr>
  </w:style>
  <w:style w:type="paragraph" w:customStyle="1" w:styleId="input-groupclasscol-">
    <w:name w:val="input-group[class*=col-]"/>
    <w:basedOn w:val="Normal"/>
    <w:pPr>
      <w:spacing w:after="150"/>
    </w:pPr>
  </w:style>
  <w:style w:type="paragraph" w:customStyle="1" w:styleId="input-group-addon">
    <w:name w:val="input-group-addon"/>
    <w:basedOn w:val="Normal"/>
    <w:pPr>
      <w:pBdr>
        <w:top w:val="single" w:sz="6" w:space="5" w:color="CCCCCC"/>
        <w:left w:val="single" w:sz="6" w:space="9" w:color="CCCCCC"/>
        <w:bottom w:val="single" w:sz="6" w:space="5" w:color="CCCCCC"/>
        <w:right w:val="single" w:sz="6" w:space="9" w:color="CCCCCC"/>
      </w:pBdr>
      <w:shd w:val="clear" w:color="auto" w:fill="EEEEEE"/>
      <w:spacing w:after="150"/>
      <w:jc w:val="center"/>
      <w:textAlignment w:val="center"/>
    </w:pPr>
    <w:rPr>
      <w:color w:val="555555"/>
      <w:sz w:val="21"/>
      <w:szCs w:val="21"/>
    </w:rPr>
  </w:style>
  <w:style w:type="paragraph" w:customStyle="1" w:styleId="input-group-btn">
    <w:name w:val="input-group-btn"/>
    <w:basedOn w:val="Normal"/>
    <w:pPr>
      <w:spacing w:after="150"/>
      <w:textAlignment w:val="center"/>
    </w:pPr>
    <w:rPr>
      <w:sz w:val="2"/>
      <w:szCs w:val="2"/>
    </w:rPr>
  </w:style>
  <w:style w:type="paragraph" w:customStyle="1" w:styleId="nav">
    <w:name w:val="nav"/>
    <w:basedOn w:val="Normal"/>
  </w:style>
  <w:style w:type="paragraph" w:customStyle="1" w:styleId="navli">
    <w:name w:val="nav&gt;li"/>
    <w:basedOn w:val="Normal"/>
    <w:pPr>
      <w:spacing w:after="150"/>
    </w:pPr>
  </w:style>
  <w:style w:type="paragraph" w:customStyle="1" w:styleId="navlia">
    <w:name w:val="nav&gt;li&gt;a"/>
    <w:basedOn w:val="Normal"/>
    <w:pPr>
      <w:spacing w:after="150"/>
    </w:pPr>
  </w:style>
  <w:style w:type="paragraph" w:customStyle="1" w:styleId="nav-tabs">
    <w:name w:val="nav-tabs"/>
    <w:basedOn w:val="Normal"/>
    <w:pPr>
      <w:spacing w:after="150"/>
    </w:pPr>
  </w:style>
  <w:style w:type="paragraph" w:customStyle="1" w:styleId="nav-tabsli">
    <w:name w:val="nav-tabs&gt;li"/>
    <w:basedOn w:val="Normal"/>
  </w:style>
  <w:style w:type="paragraph" w:customStyle="1" w:styleId="nav-tabslia">
    <w:name w:val="nav-tabs&gt;li&gt;a"/>
    <w:basedOn w:val="Normal"/>
    <w:pPr>
      <w:spacing w:after="150"/>
      <w:ind w:right="30"/>
    </w:pPr>
  </w:style>
  <w:style w:type="paragraph" w:customStyle="1" w:styleId="nav-justified">
    <w:name w:val="nav-justified"/>
    <w:basedOn w:val="Normal"/>
    <w:pPr>
      <w:spacing w:after="150"/>
    </w:pPr>
  </w:style>
  <w:style w:type="paragraph" w:customStyle="1" w:styleId="nav-justifiedlia">
    <w:name w:val="nav-justified&gt;li&gt;a"/>
    <w:basedOn w:val="Normal"/>
    <w:pPr>
      <w:spacing w:after="75"/>
      <w:jc w:val="center"/>
    </w:pPr>
  </w:style>
  <w:style w:type="paragraph" w:customStyle="1" w:styleId="nav-tabs-justified">
    <w:name w:val="nav-tabs-justified"/>
    <w:basedOn w:val="Normal"/>
    <w:pPr>
      <w:spacing w:after="150"/>
    </w:pPr>
  </w:style>
  <w:style w:type="paragraph" w:customStyle="1" w:styleId="nav-tabs-justifiedlia">
    <w:name w:val="nav-tabs-justified&gt;li&gt;a"/>
    <w:basedOn w:val="Normal"/>
    <w:pPr>
      <w:spacing w:after="150"/>
    </w:pPr>
  </w:style>
  <w:style w:type="paragraph" w:customStyle="1" w:styleId="navbar">
    <w:name w:val="navbar"/>
    <w:basedOn w:val="Normal"/>
    <w:pPr>
      <w:spacing w:after="300"/>
    </w:pPr>
  </w:style>
  <w:style w:type="paragraph" w:customStyle="1" w:styleId="navbar-collapse">
    <w:name w:val="navbar-collapse"/>
    <w:basedOn w:val="Normal"/>
    <w:pPr>
      <w:spacing w:after="150"/>
    </w:pPr>
  </w:style>
  <w:style w:type="paragraph" w:customStyle="1" w:styleId="navbar-static-top">
    <w:name w:val="navbar-static-top"/>
    <w:basedOn w:val="Normal"/>
    <w:pPr>
      <w:spacing w:after="150"/>
    </w:pPr>
  </w:style>
  <w:style w:type="paragraph" w:customStyle="1" w:styleId="navbar-fixed-top">
    <w:name w:val="navbar-fixed-top"/>
    <w:basedOn w:val="Normal"/>
    <w:pPr>
      <w:spacing w:after="150"/>
    </w:pPr>
  </w:style>
  <w:style w:type="paragraph" w:customStyle="1" w:styleId="navbar-fixed-bottom">
    <w:name w:val="navbar-fixed-bottom"/>
    <w:basedOn w:val="Normal"/>
  </w:style>
  <w:style w:type="paragraph" w:customStyle="1" w:styleId="navbar-brand">
    <w:name w:val="navbar-brand"/>
    <w:basedOn w:val="Normal"/>
    <w:pPr>
      <w:spacing w:after="150" w:line="300" w:lineRule="atLeast"/>
    </w:pPr>
    <w:rPr>
      <w:sz w:val="27"/>
      <w:szCs w:val="27"/>
    </w:rPr>
  </w:style>
  <w:style w:type="paragraph" w:customStyle="1" w:styleId="navbar-toggle">
    <w:name w:val="navbar-toggle"/>
    <w:basedOn w:val="Normal"/>
    <w:pPr>
      <w:spacing w:before="120" w:after="120"/>
      <w:ind w:right="225"/>
    </w:pPr>
  </w:style>
  <w:style w:type="paragraph" w:customStyle="1" w:styleId="navbar-nav">
    <w:name w:val="navbar-nav"/>
    <w:basedOn w:val="Normal"/>
    <w:pPr>
      <w:spacing w:before="113" w:after="113"/>
      <w:ind w:left="-225" w:right="-225"/>
    </w:pPr>
  </w:style>
  <w:style w:type="paragraph" w:customStyle="1" w:styleId="navbar-navlia">
    <w:name w:val="navbar-nav&gt;li&gt;a"/>
    <w:basedOn w:val="Normal"/>
    <w:pPr>
      <w:spacing w:after="150" w:line="300" w:lineRule="atLeast"/>
    </w:pPr>
  </w:style>
  <w:style w:type="paragraph" w:customStyle="1" w:styleId="navbar-form">
    <w:name w:val="navbar-form"/>
    <w:basedOn w:val="Normal"/>
    <w:pPr>
      <w:spacing w:before="120" w:after="120"/>
      <w:ind w:left="-225" w:right="-225"/>
    </w:pPr>
  </w:style>
  <w:style w:type="paragraph" w:customStyle="1" w:styleId="navbar-btn">
    <w:name w:val="navbar-btn"/>
    <w:basedOn w:val="Normal"/>
    <w:pPr>
      <w:spacing w:before="120" w:after="120"/>
    </w:pPr>
  </w:style>
  <w:style w:type="paragraph" w:customStyle="1" w:styleId="navbar-text">
    <w:name w:val="navbar-text"/>
    <w:basedOn w:val="Normal"/>
    <w:pPr>
      <w:spacing w:before="225" w:after="225"/>
    </w:pPr>
  </w:style>
  <w:style w:type="paragraph" w:customStyle="1" w:styleId="navbar-default">
    <w:name w:val="navbar-default"/>
    <w:basedOn w:val="Normal"/>
    <w:pPr>
      <w:shd w:val="clear" w:color="auto" w:fill="F8F8F8"/>
      <w:spacing w:after="150"/>
    </w:pPr>
  </w:style>
  <w:style w:type="paragraph" w:customStyle="1" w:styleId="navbar-inverse">
    <w:name w:val="navbar-inverse"/>
    <w:basedOn w:val="Normal"/>
    <w:pPr>
      <w:shd w:val="clear" w:color="auto" w:fill="222222"/>
      <w:spacing w:after="150"/>
    </w:pPr>
  </w:style>
  <w:style w:type="paragraph" w:customStyle="1" w:styleId="breadcrumb">
    <w:name w:val="breadcrumb"/>
    <w:basedOn w:val="Normal"/>
    <w:pPr>
      <w:shd w:val="clear" w:color="auto" w:fill="F5F5F5"/>
      <w:spacing w:after="300"/>
    </w:pPr>
  </w:style>
  <w:style w:type="paragraph" w:customStyle="1" w:styleId="pagination">
    <w:name w:val="pagination"/>
    <w:basedOn w:val="Normal"/>
    <w:pPr>
      <w:spacing w:before="300" w:after="300"/>
    </w:pPr>
  </w:style>
  <w:style w:type="paragraph" w:customStyle="1" w:styleId="paginationli">
    <w:name w:val="pagination&gt;li"/>
    <w:basedOn w:val="Normal"/>
    <w:pPr>
      <w:spacing w:after="150"/>
    </w:pPr>
  </w:style>
  <w:style w:type="paragraph" w:customStyle="1" w:styleId="paginationlia">
    <w:name w:val="pagination&gt;li&gt;a"/>
    <w:basedOn w:val="Normal"/>
    <w:pPr>
      <w:pBdr>
        <w:top w:val="single" w:sz="6" w:space="5" w:color="DDDDDD"/>
        <w:left w:val="single" w:sz="6" w:space="9" w:color="DDDDDD"/>
        <w:bottom w:val="single" w:sz="6" w:space="5" w:color="DDDDDD"/>
        <w:right w:val="single" w:sz="6" w:space="9" w:color="DDDDDD"/>
      </w:pBdr>
      <w:shd w:val="clear" w:color="auto" w:fill="FFFFFF"/>
      <w:spacing w:after="150"/>
      <w:ind w:left="-15"/>
    </w:pPr>
    <w:rPr>
      <w:color w:val="428BCA"/>
    </w:rPr>
  </w:style>
  <w:style w:type="paragraph" w:customStyle="1" w:styleId="paginationlispan">
    <w:name w:val="pagination&gt;li&gt;span"/>
    <w:basedOn w:val="Normal"/>
    <w:pPr>
      <w:pBdr>
        <w:top w:val="single" w:sz="6" w:space="5" w:color="DDDDDD"/>
        <w:left w:val="single" w:sz="6" w:space="9" w:color="DDDDDD"/>
        <w:bottom w:val="single" w:sz="6" w:space="5" w:color="DDDDDD"/>
        <w:right w:val="single" w:sz="6" w:space="9" w:color="DDDDDD"/>
      </w:pBdr>
      <w:shd w:val="clear" w:color="auto" w:fill="FFFFFF"/>
      <w:spacing w:after="150"/>
      <w:ind w:left="-15"/>
    </w:pPr>
    <w:rPr>
      <w:color w:val="428BCA"/>
    </w:rPr>
  </w:style>
  <w:style w:type="paragraph" w:customStyle="1" w:styleId="pagination-lglia">
    <w:name w:val="pagination-lg&gt;li&gt;a"/>
    <w:basedOn w:val="Normal"/>
    <w:pPr>
      <w:spacing w:after="150"/>
    </w:pPr>
    <w:rPr>
      <w:sz w:val="27"/>
      <w:szCs w:val="27"/>
    </w:rPr>
  </w:style>
  <w:style w:type="paragraph" w:customStyle="1" w:styleId="pagination-lglispan">
    <w:name w:val="pagination-lg&gt;li&gt;span"/>
    <w:basedOn w:val="Normal"/>
    <w:pPr>
      <w:spacing w:after="150"/>
    </w:pPr>
    <w:rPr>
      <w:sz w:val="27"/>
      <w:szCs w:val="27"/>
    </w:rPr>
  </w:style>
  <w:style w:type="paragraph" w:customStyle="1" w:styleId="pagination-smlia">
    <w:name w:val="pagination-sm&gt;li&gt;a"/>
    <w:basedOn w:val="Normal"/>
    <w:pPr>
      <w:spacing w:after="150"/>
    </w:pPr>
    <w:rPr>
      <w:sz w:val="18"/>
      <w:szCs w:val="18"/>
    </w:rPr>
  </w:style>
  <w:style w:type="paragraph" w:customStyle="1" w:styleId="pagination-smlispan">
    <w:name w:val="pagination-sm&gt;li&gt;span"/>
    <w:basedOn w:val="Normal"/>
    <w:pPr>
      <w:spacing w:after="150"/>
    </w:pPr>
    <w:rPr>
      <w:sz w:val="18"/>
      <w:szCs w:val="18"/>
    </w:rPr>
  </w:style>
  <w:style w:type="paragraph" w:customStyle="1" w:styleId="pager">
    <w:name w:val="pager"/>
    <w:basedOn w:val="Normal"/>
    <w:pPr>
      <w:spacing w:before="300" w:after="300"/>
      <w:jc w:val="center"/>
    </w:pPr>
  </w:style>
  <w:style w:type="paragraph" w:customStyle="1" w:styleId="label">
    <w:name w:val="label"/>
    <w:basedOn w:val="Normal"/>
    <w:pPr>
      <w:spacing w:after="150"/>
      <w:jc w:val="center"/>
    </w:pPr>
    <w:rPr>
      <w:b/>
      <w:bCs/>
      <w:color w:val="FFFFFF"/>
      <w:sz w:val="18"/>
      <w:szCs w:val="18"/>
    </w:rPr>
  </w:style>
  <w:style w:type="paragraph" w:customStyle="1" w:styleId="label-default">
    <w:name w:val="label-default"/>
    <w:basedOn w:val="Normal"/>
    <w:pPr>
      <w:shd w:val="clear" w:color="auto" w:fill="999999"/>
      <w:spacing w:after="150"/>
    </w:pPr>
  </w:style>
  <w:style w:type="paragraph" w:customStyle="1" w:styleId="label-primary">
    <w:name w:val="label-primary"/>
    <w:basedOn w:val="Normal"/>
    <w:pPr>
      <w:shd w:val="clear" w:color="auto" w:fill="428BCA"/>
      <w:spacing w:after="150"/>
    </w:pPr>
  </w:style>
  <w:style w:type="paragraph" w:customStyle="1" w:styleId="label-success">
    <w:name w:val="label-success"/>
    <w:basedOn w:val="Normal"/>
    <w:pPr>
      <w:shd w:val="clear" w:color="auto" w:fill="5CB85C"/>
      <w:spacing w:after="150"/>
    </w:pPr>
  </w:style>
  <w:style w:type="paragraph" w:customStyle="1" w:styleId="label-info">
    <w:name w:val="label-info"/>
    <w:basedOn w:val="Normal"/>
    <w:pPr>
      <w:shd w:val="clear" w:color="auto" w:fill="5BC0DE"/>
      <w:spacing w:after="150"/>
    </w:pPr>
  </w:style>
  <w:style w:type="paragraph" w:customStyle="1" w:styleId="label-warning">
    <w:name w:val="label-warning"/>
    <w:basedOn w:val="Normal"/>
    <w:pPr>
      <w:shd w:val="clear" w:color="auto" w:fill="F0AD4E"/>
      <w:spacing w:after="150"/>
    </w:pPr>
  </w:style>
  <w:style w:type="paragraph" w:customStyle="1" w:styleId="label-danger">
    <w:name w:val="label-danger"/>
    <w:basedOn w:val="Normal"/>
    <w:pPr>
      <w:shd w:val="clear" w:color="auto" w:fill="D9534F"/>
      <w:spacing w:after="150"/>
    </w:pPr>
  </w:style>
  <w:style w:type="paragraph" w:customStyle="1" w:styleId="badge">
    <w:name w:val="badge"/>
    <w:basedOn w:val="Normal"/>
    <w:pPr>
      <w:shd w:val="clear" w:color="auto" w:fill="999999"/>
      <w:spacing w:after="150"/>
      <w:jc w:val="center"/>
    </w:pPr>
    <w:rPr>
      <w:b/>
      <w:bCs/>
      <w:color w:val="FFFFFF"/>
      <w:sz w:val="18"/>
      <w:szCs w:val="18"/>
    </w:rPr>
  </w:style>
  <w:style w:type="paragraph" w:customStyle="1" w:styleId="jumbotron">
    <w:name w:val="jumbotron"/>
    <w:basedOn w:val="Normal"/>
    <w:pPr>
      <w:shd w:val="clear" w:color="auto" w:fill="EEEEEE"/>
      <w:spacing w:after="450"/>
    </w:pPr>
  </w:style>
  <w:style w:type="paragraph" w:customStyle="1" w:styleId="thumbnail">
    <w:name w:val="thumbnail"/>
    <w:basedOn w:val="Normal"/>
    <w:pPr>
      <w:pBdr>
        <w:top w:val="single" w:sz="6" w:space="3" w:color="DDDDDD"/>
        <w:left w:val="single" w:sz="6" w:space="3" w:color="DDDDDD"/>
        <w:bottom w:val="single" w:sz="6" w:space="3" w:color="DDDDDD"/>
        <w:right w:val="single" w:sz="6" w:space="3" w:color="DDDDDD"/>
      </w:pBdr>
      <w:shd w:val="clear" w:color="auto" w:fill="FFFFFF"/>
      <w:spacing w:after="300"/>
    </w:pPr>
  </w:style>
  <w:style w:type="paragraph" w:customStyle="1" w:styleId="alert">
    <w:name w:val="alert"/>
    <w:basedOn w:val="Normal"/>
    <w:pPr>
      <w:spacing w:after="300"/>
    </w:pPr>
  </w:style>
  <w:style w:type="paragraph" w:customStyle="1" w:styleId="alertp">
    <w:name w:val="alert&gt;p"/>
    <w:basedOn w:val="Normal"/>
  </w:style>
  <w:style w:type="paragraph" w:customStyle="1" w:styleId="alertul">
    <w:name w:val="alert&gt;ul"/>
    <w:basedOn w:val="Normal"/>
  </w:style>
  <w:style w:type="paragraph" w:customStyle="1" w:styleId="alert-dismissable">
    <w:name w:val="alert-dismissable"/>
    <w:basedOn w:val="Normal"/>
    <w:pPr>
      <w:spacing w:after="150"/>
    </w:pPr>
  </w:style>
  <w:style w:type="paragraph" w:customStyle="1" w:styleId="alert-success">
    <w:name w:val="alert-success"/>
    <w:basedOn w:val="Normal"/>
    <w:pPr>
      <w:shd w:val="clear" w:color="auto" w:fill="DFF0D8"/>
      <w:spacing w:after="150"/>
    </w:pPr>
    <w:rPr>
      <w:color w:val="3C763D"/>
    </w:rPr>
  </w:style>
  <w:style w:type="paragraph" w:customStyle="1" w:styleId="alert-info">
    <w:name w:val="alert-info"/>
    <w:basedOn w:val="Normal"/>
    <w:pPr>
      <w:shd w:val="clear" w:color="auto" w:fill="D9EDF7"/>
      <w:spacing w:after="150"/>
    </w:pPr>
    <w:rPr>
      <w:color w:val="31708F"/>
    </w:rPr>
  </w:style>
  <w:style w:type="paragraph" w:customStyle="1" w:styleId="alert-warning">
    <w:name w:val="alert-warning"/>
    <w:basedOn w:val="Normal"/>
    <w:pPr>
      <w:shd w:val="clear" w:color="auto" w:fill="FCF8E3"/>
      <w:spacing w:after="150"/>
    </w:pPr>
    <w:rPr>
      <w:color w:val="8A6D3B"/>
    </w:rPr>
  </w:style>
  <w:style w:type="paragraph" w:customStyle="1" w:styleId="alert-danger">
    <w:name w:val="alert-danger"/>
    <w:basedOn w:val="Normal"/>
    <w:pPr>
      <w:shd w:val="clear" w:color="auto" w:fill="F2DEDE"/>
      <w:spacing w:after="150"/>
    </w:pPr>
    <w:rPr>
      <w:color w:val="A94442"/>
    </w:rPr>
  </w:style>
  <w:style w:type="paragraph" w:customStyle="1" w:styleId="progress">
    <w:name w:val="progress"/>
    <w:basedOn w:val="Normal"/>
    <w:pPr>
      <w:shd w:val="clear" w:color="auto" w:fill="F5F5F5"/>
      <w:spacing w:after="300"/>
    </w:pPr>
  </w:style>
  <w:style w:type="paragraph" w:customStyle="1" w:styleId="progress-bar">
    <w:name w:val="progress-bar"/>
    <w:basedOn w:val="Normal"/>
    <w:pPr>
      <w:shd w:val="clear" w:color="auto" w:fill="428BCA"/>
      <w:spacing w:after="150" w:line="300" w:lineRule="atLeast"/>
      <w:jc w:val="center"/>
    </w:pPr>
    <w:rPr>
      <w:color w:val="FFFFFF"/>
      <w:sz w:val="18"/>
      <w:szCs w:val="18"/>
    </w:rPr>
  </w:style>
  <w:style w:type="paragraph" w:customStyle="1" w:styleId="progress-bar-success">
    <w:name w:val="progress-bar-success"/>
    <w:basedOn w:val="Normal"/>
    <w:pPr>
      <w:shd w:val="clear" w:color="auto" w:fill="5CB85C"/>
      <w:spacing w:after="150"/>
    </w:pPr>
  </w:style>
  <w:style w:type="paragraph" w:customStyle="1" w:styleId="progress-bar-info">
    <w:name w:val="progress-bar-info"/>
    <w:basedOn w:val="Normal"/>
    <w:pPr>
      <w:shd w:val="clear" w:color="auto" w:fill="5BC0DE"/>
      <w:spacing w:after="150"/>
    </w:pPr>
  </w:style>
  <w:style w:type="paragraph" w:customStyle="1" w:styleId="progress-bar-warning">
    <w:name w:val="progress-bar-warning"/>
    <w:basedOn w:val="Normal"/>
    <w:pPr>
      <w:shd w:val="clear" w:color="auto" w:fill="F0AD4E"/>
      <w:spacing w:after="150"/>
    </w:pPr>
  </w:style>
  <w:style w:type="paragraph" w:customStyle="1" w:styleId="progress-bar-danger">
    <w:name w:val="progress-bar-danger"/>
    <w:basedOn w:val="Normal"/>
    <w:pPr>
      <w:shd w:val="clear" w:color="auto" w:fill="D9534F"/>
      <w:spacing w:after="150"/>
    </w:pPr>
  </w:style>
  <w:style w:type="paragraph" w:customStyle="1" w:styleId="media">
    <w:name w:val="media"/>
    <w:basedOn w:val="Normal"/>
    <w:pPr>
      <w:spacing w:before="225" w:after="150"/>
    </w:pPr>
  </w:style>
  <w:style w:type="paragraph" w:customStyle="1" w:styleId="media-object">
    <w:name w:val="media-object"/>
    <w:basedOn w:val="Normal"/>
    <w:pPr>
      <w:spacing w:after="150"/>
    </w:pPr>
  </w:style>
  <w:style w:type="paragraph" w:customStyle="1" w:styleId="media-heading">
    <w:name w:val="media-heading"/>
    <w:basedOn w:val="Normal"/>
    <w:pPr>
      <w:spacing w:after="75"/>
    </w:pPr>
  </w:style>
  <w:style w:type="paragraph" w:customStyle="1" w:styleId="media-list">
    <w:name w:val="media-list"/>
    <w:basedOn w:val="Normal"/>
    <w:pPr>
      <w:spacing w:after="150"/>
    </w:pPr>
  </w:style>
  <w:style w:type="paragraph" w:customStyle="1" w:styleId="list-group">
    <w:name w:val="list-group"/>
    <w:basedOn w:val="Normal"/>
    <w:pPr>
      <w:spacing w:after="300"/>
    </w:pPr>
  </w:style>
  <w:style w:type="paragraph" w:customStyle="1" w:styleId="list-group-item">
    <w:name w:val="list-group-item"/>
    <w:basedOn w:val="Normal"/>
    <w:pPr>
      <w:pBdr>
        <w:top w:val="single" w:sz="6" w:space="8" w:color="DDDDDD"/>
        <w:left w:val="single" w:sz="6" w:space="11" w:color="DDDDDD"/>
        <w:bottom w:val="single" w:sz="6" w:space="8" w:color="DDDDDD"/>
        <w:right w:val="single" w:sz="6" w:space="11" w:color="DDDDDD"/>
      </w:pBdr>
      <w:shd w:val="clear" w:color="auto" w:fill="FFFFFF"/>
    </w:pPr>
  </w:style>
  <w:style w:type="paragraph" w:customStyle="1" w:styleId="list-group-item-success">
    <w:name w:val="list-group-item-success"/>
    <w:basedOn w:val="Normal"/>
    <w:pPr>
      <w:shd w:val="clear" w:color="auto" w:fill="DFF0D8"/>
      <w:spacing w:after="150"/>
    </w:pPr>
    <w:rPr>
      <w:color w:val="3C763D"/>
    </w:rPr>
  </w:style>
  <w:style w:type="paragraph" w:customStyle="1" w:styleId="list-group-item-info">
    <w:name w:val="list-group-item-info"/>
    <w:basedOn w:val="Normal"/>
    <w:pPr>
      <w:shd w:val="clear" w:color="auto" w:fill="D9EDF7"/>
      <w:spacing w:after="150"/>
    </w:pPr>
    <w:rPr>
      <w:color w:val="31708F"/>
    </w:rPr>
  </w:style>
  <w:style w:type="paragraph" w:customStyle="1" w:styleId="list-group-item-warning">
    <w:name w:val="list-group-item-warning"/>
    <w:basedOn w:val="Normal"/>
    <w:pPr>
      <w:shd w:val="clear" w:color="auto" w:fill="FCF8E3"/>
      <w:spacing w:after="150"/>
    </w:pPr>
    <w:rPr>
      <w:color w:val="8A6D3B"/>
    </w:rPr>
  </w:style>
  <w:style w:type="paragraph" w:customStyle="1" w:styleId="list-group-item-danger">
    <w:name w:val="list-group-item-danger"/>
    <w:basedOn w:val="Normal"/>
    <w:pPr>
      <w:shd w:val="clear" w:color="auto" w:fill="F2DEDE"/>
      <w:spacing w:after="150"/>
    </w:pPr>
    <w:rPr>
      <w:color w:val="A94442"/>
    </w:rPr>
  </w:style>
  <w:style w:type="paragraph" w:customStyle="1" w:styleId="list-group-item-heading">
    <w:name w:val="list-group-item-heading"/>
    <w:basedOn w:val="Normal"/>
    <w:pPr>
      <w:spacing w:after="75"/>
    </w:pPr>
  </w:style>
  <w:style w:type="paragraph" w:customStyle="1" w:styleId="list-group-item-text">
    <w:name w:val="list-group-item-text"/>
    <w:basedOn w:val="Normal"/>
  </w:style>
  <w:style w:type="paragraph" w:customStyle="1" w:styleId="panel">
    <w:name w:val="panel"/>
    <w:basedOn w:val="Normal"/>
    <w:pPr>
      <w:shd w:val="clear" w:color="auto" w:fill="FFFFFF"/>
      <w:spacing w:after="300"/>
    </w:pPr>
  </w:style>
  <w:style w:type="paragraph" w:customStyle="1" w:styleId="panel-body">
    <w:name w:val="panel-body"/>
    <w:basedOn w:val="Normal"/>
    <w:pPr>
      <w:spacing w:after="150"/>
    </w:pPr>
  </w:style>
  <w:style w:type="paragraph" w:customStyle="1" w:styleId="panel-heading">
    <w:name w:val="panel-heading"/>
    <w:basedOn w:val="Normal"/>
    <w:pPr>
      <w:spacing w:after="150"/>
    </w:pPr>
  </w:style>
  <w:style w:type="paragraph" w:customStyle="1" w:styleId="panel-title">
    <w:name w:val="panel-title"/>
    <w:basedOn w:val="Normal"/>
  </w:style>
  <w:style w:type="paragraph" w:customStyle="1" w:styleId="panel-footer">
    <w:name w:val="panel-footer"/>
    <w:basedOn w:val="Normal"/>
    <w:pPr>
      <w:pBdr>
        <w:top w:val="single" w:sz="6" w:space="8" w:color="DDDDDD"/>
      </w:pBdr>
      <w:shd w:val="clear" w:color="auto" w:fill="F5F5F5"/>
      <w:spacing w:after="150"/>
    </w:pPr>
  </w:style>
  <w:style w:type="paragraph" w:customStyle="1" w:styleId="panel-group">
    <w:name w:val="panel-group"/>
    <w:basedOn w:val="Normal"/>
    <w:pPr>
      <w:spacing w:after="300"/>
    </w:pPr>
  </w:style>
  <w:style w:type="paragraph" w:customStyle="1" w:styleId="panel-default">
    <w:name w:val="panel-default"/>
    <w:basedOn w:val="Normal"/>
    <w:pPr>
      <w:spacing w:after="150"/>
    </w:pPr>
  </w:style>
  <w:style w:type="paragraph" w:customStyle="1" w:styleId="panel-primary">
    <w:name w:val="panel-primary"/>
    <w:basedOn w:val="Normal"/>
    <w:pPr>
      <w:spacing w:after="150"/>
    </w:pPr>
  </w:style>
  <w:style w:type="paragraph" w:customStyle="1" w:styleId="panel-success">
    <w:name w:val="panel-success"/>
    <w:basedOn w:val="Normal"/>
    <w:pPr>
      <w:spacing w:after="150"/>
    </w:pPr>
  </w:style>
  <w:style w:type="paragraph" w:customStyle="1" w:styleId="panel-info">
    <w:name w:val="panel-info"/>
    <w:basedOn w:val="Normal"/>
    <w:pPr>
      <w:spacing w:after="150"/>
    </w:pPr>
  </w:style>
  <w:style w:type="paragraph" w:customStyle="1" w:styleId="panel-warning">
    <w:name w:val="panel-warning"/>
    <w:basedOn w:val="Normal"/>
    <w:pPr>
      <w:spacing w:after="150"/>
    </w:pPr>
  </w:style>
  <w:style w:type="paragraph" w:customStyle="1" w:styleId="panel-danger">
    <w:name w:val="panel-danger"/>
    <w:basedOn w:val="Normal"/>
    <w:pPr>
      <w:spacing w:after="150"/>
    </w:pPr>
  </w:style>
  <w:style w:type="paragraph" w:customStyle="1" w:styleId="well">
    <w:name w:val="well"/>
    <w:basedOn w:val="Normal"/>
    <w:pPr>
      <w:pBdr>
        <w:top w:val="single" w:sz="6" w:space="14" w:color="E3E3E3"/>
        <w:left w:val="single" w:sz="6" w:space="14" w:color="E3E3E3"/>
        <w:bottom w:val="single" w:sz="6" w:space="14" w:color="E3E3E3"/>
        <w:right w:val="single" w:sz="6" w:space="14" w:color="E3E3E3"/>
      </w:pBdr>
      <w:shd w:val="clear" w:color="auto" w:fill="F5F5F5"/>
      <w:spacing w:after="300"/>
    </w:pPr>
  </w:style>
  <w:style w:type="paragraph" w:customStyle="1" w:styleId="well-lg">
    <w:name w:val="well-lg"/>
    <w:basedOn w:val="Normal"/>
    <w:pPr>
      <w:spacing w:after="150"/>
    </w:pPr>
  </w:style>
  <w:style w:type="paragraph" w:customStyle="1" w:styleId="well-sm">
    <w:name w:val="well-sm"/>
    <w:basedOn w:val="Normal"/>
    <w:pPr>
      <w:spacing w:after="150"/>
    </w:pPr>
  </w:style>
  <w:style w:type="paragraph" w:customStyle="1" w:styleId="close">
    <w:name w:val="close"/>
    <w:basedOn w:val="Normal"/>
    <w:pPr>
      <w:spacing w:after="150"/>
    </w:pPr>
    <w:rPr>
      <w:b/>
      <w:bCs/>
      <w:color w:val="000000"/>
      <w:sz w:val="32"/>
      <w:szCs w:val="32"/>
    </w:rPr>
  </w:style>
  <w:style w:type="paragraph" w:customStyle="1" w:styleId="modal">
    <w:name w:val="modal"/>
    <w:basedOn w:val="Normal"/>
    <w:pPr>
      <w:spacing w:after="150"/>
    </w:pPr>
    <w:rPr>
      <w:vanish/>
    </w:rPr>
  </w:style>
  <w:style w:type="paragraph" w:customStyle="1" w:styleId="modal-dialog">
    <w:name w:val="modal-dialog"/>
    <w:basedOn w:val="Normal"/>
    <w:pPr>
      <w:spacing w:before="150" w:after="150"/>
      <w:ind w:left="150" w:right="150"/>
    </w:pPr>
  </w:style>
  <w:style w:type="paragraph" w:customStyle="1" w:styleId="modal-content">
    <w:name w:val="modal-content"/>
    <w:basedOn w:val="Normal"/>
    <w:pPr>
      <w:pBdr>
        <w:top w:val="single" w:sz="6" w:space="0" w:color="999999"/>
        <w:left w:val="single" w:sz="6" w:space="0" w:color="999999"/>
        <w:bottom w:val="single" w:sz="6" w:space="0" w:color="999999"/>
        <w:right w:val="single" w:sz="6" w:space="0" w:color="999999"/>
      </w:pBdr>
      <w:shd w:val="clear" w:color="auto" w:fill="FFFFFF"/>
      <w:spacing w:after="150"/>
    </w:pPr>
  </w:style>
  <w:style w:type="paragraph" w:customStyle="1" w:styleId="modal-backdrop">
    <w:name w:val="modal-backdrop"/>
    <w:basedOn w:val="Normal"/>
    <w:pPr>
      <w:shd w:val="clear" w:color="auto" w:fill="000000"/>
      <w:spacing w:after="150"/>
    </w:pPr>
  </w:style>
  <w:style w:type="paragraph" w:customStyle="1" w:styleId="modal-header">
    <w:name w:val="modal-header"/>
    <w:basedOn w:val="Normal"/>
    <w:pPr>
      <w:pBdr>
        <w:bottom w:val="single" w:sz="6" w:space="11" w:color="E5E5E5"/>
      </w:pBdr>
      <w:spacing w:after="150"/>
    </w:pPr>
  </w:style>
  <w:style w:type="paragraph" w:customStyle="1" w:styleId="modal-title">
    <w:name w:val="modal-title"/>
    <w:basedOn w:val="Normal"/>
  </w:style>
  <w:style w:type="paragraph" w:customStyle="1" w:styleId="modal-body">
    <w:name w:val="modal-body"/>
    <w:basedOn w:val="Normal"/>
    <w:pPr>
      <w:spacing w:after="150"/>
    </w:pPr>
  </w:style>
  <w:style w:type="paragraph" w:customStyle="1" w:styleId="modal-footer">
    <w:name w:val="modal-footer"/>
    <w:basedOn w:val="Normal"/>
    <w:pPr>
      <w:pBdr>
        <w:top w:val="single" w:sz="6" w:space="14" w:color="E5E5E5"/>
      </w:pBdr>
      <w:spacing w:before="225" w:after="150"/>
      <w:jc w:val="right"/>
    </w:pPr>
  </w:style>
  <w:style w:type="paragraph" w:customStyle="1" w:styleId="tooltip">
    <w:name w:val="tooltip"/>
    <w:basedOn w:val="Normal"/>
    <w:pPr>
      <w:spacing w:after="150"/>
    </w:pPr>
    <w:rPr>
      <w:sz w:val="18"/>
      <w:szCs w:val="18"/>
    </w:rPr>
  </w:style>
  <w:style w:type="paragraph" w:customStyle="1" w:styleId="tooltip-inner">
    <w:name w:val="tooltip-inner"/>
    <w:basedOn w:val="Normal"/>
    <w:pPr>
      <w:shd w:val="clear" w:color="auto" w:fill="000000"/>
      <w:spacing w:after="150"/>
      <w:jc w:val="center"/>
    </w:pPr>
    <w:rPr>
      <w:color w:val="FFFFFF"/>
    </w:rPr>
  </w:style>
  <w:style w:type="paragraph" w:customStyle="1" w:styleId="tooltip-arrow">
    <w:name w:val="tooltip-arrow"/>
    <w:basedOn w:val="Normal"/>
    <w:pPr>
      <w:pBdr>
        <w:top w:val="single" w:sz="24" w:space="0" w:color="000000"/>
        <w:left w:val="single" w:sz="24" w:space="0" w:color="000000"/>
        <w:bottom w:val="single" w:sz="24" w:space="0" w:color="000000"/>
        <w:right w:val="single" w:sz="24" w:space="0" w:color="000000"/>
      </w:pBdr>
      <w:spacing w:after="150"/>
    </w:pPr>
  </w:style>
  <w:style w:type="paragraph" w:customStyle="1" w:styleId="popover">
    <w:name w:val="popover"/>
    <w:basedOn w:val="Normal"/>
    <w:pPr>
      <w:pBdr>
        <w:top w:val="single" w:sz="6" w:space="1" w:color="CCCCCC"/>
        <w:left w:val="single" w:sz="6" w:space="1" w:color="CCCCCC"/>
        <w:bottom w:val="single" w:sz="6" w:space="1" w:color="CCCCCC"/>
        <w:right w:val="single" w:sz="6" w:space="1" w:color="CCCCCC"/>
      </w:pBdr>
      <w:shd w:val="clear" w:color="auto" w:fill="FFFFFF"/>
      <w:spacing w:after="150"/>
    </w:pPr>
    <w:rPr>
      <w:vanish/>
    </w:rPr>
  </w:style>
  <w:style w:type="paragraph" w:customStyle="1" w:styleId="popover-title">
    <w:name w:val="popover-title"/>
    <w:basedOn w:val="Normal"/>
    <w:pPr>
      <w:pBdr>
        <w:bottom w:val="single" w:sz="6" w:space="6" w:color="EBEBEB"/>
      </w:pBdr>
      <w:shd w:val="clear" w:color="auto" w:fill="F7F7F7"/>
      <w:spacing w:line="270" w:lineRule="atLeast"/>
    </w:pPr>
    <w:rPr>
      <w:sz w:val="21"/>
      <w:szCs w:val="21"/>
    </w:rPr>
  </w:style>
  <w:style w:type="paragraph" w:customStyle="1" w:styleId="popover-content">
    <w:name w:val="popover-content"/>
    <w:basedOn w:val="Normal"/>
    <w:pPr>
      <w:spacing w:after="150"/>
    </w:pPr>
  </w:style>
  <w:style w:type="paragraph" w:customStyle="1" w:styleId="carousel-inner">
    <w:name w:val="carousel-inner"/>
    <w:basedOn w:val="Normal"/>
    <w:pPr>
      <w:spacing w:after="150"/>
    </w:pPr>
  </w:style>
  <w:style w:type="paragraph" w:customStyle="1" w:styleId="carousel-control">
    <w:name w:val="carousel-control"/>
    <w:basedOn w:val="Normal"/>
    <w:pPr>
      <w:spacing w:after="150"/>
      <w:jc w:val="center"/>
    </w:pPr>
    <w:rPr>
      <w:color w:val="FFFFFF"/>
      <w:sz w:val="30"/>
      <w:szCs w:val="30"/>
    </w:rPr>
  </w:style>
  <w:style w:type="paragraph" w:customStyle="1" w:styleId="carousel-indicators">
    <w:name w:val="carousel-indicators"/>
    <w:basedOn w:val="Normal"/>
    <w:pPr>
      <w:spacing w:after="150"/>
      <w:ind w:left="-3571"/>
      <w:jc w:val="center"/>
    </w:pPr>
  </w:style>
  <w:style w:type="paragraph" w:customStyle="1" w:styleId="carousel-caption">
    <w:name w:val="carousel-caption"/>
    <w:basedOn w:val="Normal"/>
    <w:pPr>
      <w:spacing w:after="150"/>
      <w:jc w:val="center"/>
    </w:pPr>
    <w:rPr>
      <w:color w:val="FFFFFF"/>
    </w:rPr>
  </w:style>
  <w:style w:type="paragraph" w:customStyle="1" w:styleId="center-block">
    <w:name w:val="center-block"/>
    <w:basedOn w:val="Normal"/>
    <w:pPr>
      <w:spacing w:after="150"/>
    </w:pPr>
  </w:style>
  <w:style w:type="paragraph" w:customStyle="1" w:styleId="text-hide">
    <w:name w:val="text-hide"/>
    <w:basedOn w:val="Normal"/>
    <w:pPr>
      <w:spacing w:after="150"/>
    </w:pPr>
  </w:style>
  <w:style w:type="paragraph" w:customStyle="1" w:styleId="timeto">
    <w:name w:val="timeto"/>
    <w:basedOn w:val="Normal"/>
    <w:pPr>
      <w:spacing w:after="150"/>
    </w:pPr>
    <w:rPr>
      <w:rFonts w:ascii="Tahoma" w:hAnsi="Tahoma" w:cs="Tahoma"/>
      <w:b/>
      <w:bCs/>
      <w:sz w:val="42"/>
      <w:szCs w:val="42"/>
    </w:rPr>
  </w:style>
  <w:style w:type="paragraph" w:customStyle="1" w:styleId="ss-offline-body">
    <w:name w:val="ss-offline-body"/>
    <w:basedOn w:val="Normal"/>
    <w:pPr>
      <w:spacing w:after="150"/>
    </w:pPr>
  </w:style>
  <w:style w:type="paragraph" w:customStyle="1" w:styleId="ss-home-btn">
    <w:name w:val="ss-home-btn"/>
    <w:basedOn w:val="Normal"/>
    <w:pPr>
      <w:pBdr>
        <w:top w:val="single" w:sz="2" w:space="0" w:color="6B6B6B"/>
        <w:left w:val="single" w:sz="2" w:space="0" w:color="6B6B6B"/>
        <w:bottom w:val="single" w:sz="2" w:space="0" w:color="6B6B6B"/>
        <w:right w:val="single" w:sz="2" w:space="0" w:color="6B6B6B"/>
      </w:pBdr>
      <w:shd w:val="clear" w:color="auto" w:fill="FFFFFF"/>
      <w:spacing w:after="150"/>
      <w:ind w:hanging="18928"/>
    </w:pPr>
  </w:style>
  <w:style w:type="paragraph" w:customStyle="1" w:styleId="ss-unlock-btn">
    <w:name w:val="ss-unlock-btn"/>
    <w:basedOn w:val="Normal"/>
    <w:pPr>
      <w:pBdr>
        <w:top w:val="single" w:sz="2" w:space="0" w:color="6B6B6B"/>
        <w:left w:val="single" w:sz="2" w:space="0" w:color="6B6B6B"/>
        <w:bottom w:val="single" w:sz="2" w:space="0" w:color="6B6B6B"/>
        <w:right w:val="single" w:sz="2" w:space="0" w:color="6B6B6B"/>
      </w:pBdr>
      <w:shd w:val="clear" w:color="auto" w:fill="FFFFFF"/>
      <w:spacing w:after="150"/>
      <w:ind w:hanging="18928"/>
    </w:pPr>
  </w:style>
  <w:style w:type="paragraph" w:customStyle="1" w:styleId="ss-offline-btn">
    <w:name w:val="ss-offline-btn"/>
    <w:basedOn w:val="Normal"/>
    <w:pPr>
      <w:spacing w:before="75" w:after="75"/>
      <w:ind w:left="75" w:right="75"/>
    </w:pPr>
  </w:style>
  <w:style w:type="paragraph" w:customStyle="1" w:styleId="ss-debug-btn">
    <w:name w:val="ss-debug-btn"/>
    <w:basedOn w:val="Normal"/>
    <w:pPr>
      <w:spacing w:after="150"/>
    </w:pPr>
    <w:rPr>
      <w:color w:val="666666"/>
    </w:rPr>
  </w:style>
  <w:style w:type="paragraph" w:customStyle="1" w:styleId="popup-loading">
    <w:name w:val="popup-loading"/>
    <w:basedOn w:val="Normal"/>
    <w:pPr>
      <w:shd w:val="clear" w:color="auto" w:fill="FFFFFF"/>
      <w:spacing w:after="150"/>
      <w:jc w:val="center"/>
    </w:pPr>
    <w:rPr>
      <w:vanish/>
    </w:rPr>
  </w:style>
  <w:style w:type="paragraph" w:customStyle="1" w:styleId="popup-overlay">
    <w:name w:val="popup-overlay"/>
    <w:basedOn w:val="Normal"/>
    <w:pPr>
      <w:spacing w:after="150"/>
      <w:jc w:val="center"/>
    </w:pPr>
    <w:rPr>
      <w:vanish/>
    </w:rPr>
  </w:style>
  <w:style w:type="paragraph" w:customStyle="1" w:styleId="popup">
    <w:name w:val="popup"/>
    <w:basedOn w:val="Normal"/>
    <w:pPr>
      <w:shd w:val="clear" w:color="auto" w:fill="FFFFFF"/>
      <w:spacing w:before="5" w:after="5"/>
      <w:jc w:val="center"/>
    </w:pPr>
    <w:rPr>
      <w:color w:val="000000"/>
    </w:rPr>
  </w:style>
  <w:style w:type="paragraph" w:customStyle="1" w:styleId="kiosk-help-icon">
    <w:name w:val="kiosk-help-icon"/>
    <w:basedOn w:val="Normal"/>
    <w:pPr>
      <w:pBdr>
        <w:top w:val="single" w:sz="6" w:space="2" w:color="000000"/>
        <w:left w:val="single" w:sz="6" w:space="4" w:color="000000"/>
        <w:bottom w:val="single" w:sz="6" w:space="2" w:color="000000"/>
        <w:right w:val="single" w:sz="6" w:space="4" w:color="000000"/>
      </w:pBdr>
      <w:shd w:val="clear" w:color="auto" w:fill="E8ECFF"/>
      <w:spacing w:after="150"/>
    </w:pPr>
    <w:rPr>
      <w:sz w:val="17"/>
      <w:szCs w:val="17"/>
    </w:rPr>
  </w:style>
  <w:style w:type="paragraph" w:customStyle="1" w:styleId="zebradialog">
    <w:name w:val="zebradialog"/>
    <w:basedOn w:val="Normal"/>
    <w:pPr>
      <w:shd w:val="clear" w:color="auto" w:fill="FFFFFF"/>
      <w:spacing w:before="10" w:after="150"/>
    </w:pPr>
    <w:rPr>
      <w:rFonts w:ascii="Tahoma" w:hAnsi="Tahoma" w:cs="Tahoma"/>
      <w:color w:val="222222"/>
      <w:sz w:val="18"/>
      <w:szCs w:val="18"/>
    </w:rPr>
  </w:style>
  <w:style w:type="paragraph" w:customStyle="1" w:styleId="zebradialogoverlay">
    <w:name w:val="zebradialogoverlay"/>
    <w:basedOn w:val="Normal"/>
    <w:pPr>
      <w:shd w:val="clear" w:color="auto" w:fill="666666"/>
      <w:spacing w:after="150"/>
    </w:pPr>
  </w:style>
  <w:style w:type="paragraph" w:customStyle="1" w:styleId="ui-helper-hidden">
    <w:name w:val="ui-helper-hidden"/>
    <w:basedOn w:val="Normal"/>
    <w:pPr>
      <w:spacing w:after="150"/>
    </w:pPr>
    <w:rPr>
      <w:vanish/>
    </w:rPr>
  </w:style>
  <w:style w:type="paragraph" w:customStyle="1" w:styleId="ui-helper-reset">
    <w:name w:val="ui-helper-reset"/>
    <w:basedOn w:val="Normal"/>
  </w:style>
  <w:style w:type="paragraph" w:customStyle="1" w:styleId="ui-helper-zfix">
    <w:name w:val="ui-helper-zfix"/>
    <w:basedOn w:val="Normal"/>
    <w:pPr>
      <w:spacing w:after="150"/>
    </w:pPr>
  </w:style>
  <w:style w:type="paragraph" w:customStyle="1" w:styleId="ui-icon">
    <w:name w:val="ui-icon"/>
    <w:basedOn w:val="Normal"/>
    <w:pPr>
      <w:spacing w:after="150"/>
      <w:ind w:firstLine="7343"/>
    </w:pPr>
  </w:style>
  <w:style w:type="paragraph" w:customStyle="1" w:styleId="ui-widget-overlay">
    <w:name w:val="ui-widget-overlay"/>
    <w:basedOn w:val="Normal"/>
    <w:pPr>
      <w:shd w:val="clear" w:color="auto" w:fill="5C5C5C"/>
      <w:spacing w:after="150"/>
    </w:pPr>
  </w:style>
  <w:style w:type="paragraph" w:customStyle="1" w:styleId="ui-widget">
    <w:name w:val="ui-widget"/>
    <w:basedOn w:val="Normal"/>
    <w:pPr>
      <w:spacing w:after="150"/>
    </w:pPr>
    <w:rPr>
      <w:rFonts w:ascii="Segoe UI" w:hAnsi="Segoe UI" w:cs="Segoe UI"/>
      <w:sz w:val="26"/>
      <w:szCs w:val="26"/>
    </w:rPr>
  </w:style>
  <w:style w:type="paragraph" w:customStyle="1" w:styleId="ui-widget-content">
    <w:name w:val="ui-widget-content"/>
    <w:basedOn w:val="Normal"/>
    <w:pPr>
      <w:pBdr>
        <w:top w:val="single" w:sz="6" w:space="0" w:color="8E846B"/>
        <w:left w:val="single" w:sz="6" w:space="0" w:color="8E846B"/>
        <w:bottom w:val="single" w:sz="6" w:space="0" w:color="8E846B"/>
        <w:right w:val="single" w:sz="6" w:space="0" w:color="8E846B"/>
      </w:pBdr>
      <w:spacing w:after="150"/>
    </w:pPr>
    <w:rPr>
      <w:color w:val="383838"/>
    </w:rPr>
  </w:style>
  <w:style w:type="paragraph" w:customStyle="1" w:styleId="ui-widget-header">
    <w:name w:val="ui-widget-header"/>
    <w:basedOn w:val="Normal"/>
    <w:pPr>
      <w:pBdr>
        <w:top w:val="single" w:sz="6" w:space="0" w:color="494437"/>
        <w:left w:val="single" w:sz="6" w:space="0" w:color="494437"/>
        <w:bottom w:val="single" w:sz="6" w:space="0" w:color="494437"/>
        <w:right w:val="single" w:sz="6" w:space="0" w:color="494437"/>
      </w:pBdr>
      <w:shd w:val="clear" w:color="auto" w:fill="817865"/>
      <w:spacing w:after="150"/>
    </w:pPr>
    <w:rPr>
      <w:b/>
      <w:bCs/>
      <w:color w:val="FFFFFF"/>
    </w:rPr>
  </w:style>
  <w:style w:type="paragraph" w:customStyle="1" w:styleId="ui-state-default">
    <w:name w:val="ui-state-default"/>
    <w:basedOn w:val="Normal"/>
    <w:pPr>
      <w:pBdr>
        <w:top w:val="single" w:sz="6" w:space="0" w:color="D19405"/>
        <w:left w:val="single" w:sz="6" w:space="0" w:color="D19405"/>
        <w:bottom w:val="single" w:sz="6" w:space="0" w:color="D19405"/>
        <w:right w:val="single" w:sz="6" w:space="0" w:color="D19405"/>
      </w:pBdr>
      <w:shd w:val="clear" w:color="auto" w:fill="FECE2F"/>
      <w:spacing w:after="150"/>
    </w:pPr>
    <w:rPr>
      <w:b/>
      <w:bCs/>
      <w:color w:val="4C3000"/>
    </w:rPr>
  </w:style>
  <w:style w:type="paragraph" w:customStyle="1" w:styleId="ui-state-hover">
    <w:name w:val="ui-state-hover"/>
    <w:basedOn w:val="Normal"/>
    <w:pPr>
      <w:pBdr>
        <w:top w:val="single" w:sz="6" w:space="0" w:color="A45B13"/>
        <w:left w:val="single" w:sz="6" w:space="0" w:color="A45B13"/>
        <w:bottom w:val="single" w:sz="6" w:space="0" w:color="A45B13"/>
        <w:right w:val="single" w:sz="6" w:space="0" w:color="A45B13"/>
      </w:pBdr>
      <w:shd w:val="clear" w:color="auto" w:fill="FFDD57"/>
      <w:spacing w:after="150"/>
    </w:pPr>
    <w:rPr>
      <w:b/>
      <w:bCs/>
      <w:color w:val="381F00"/>
    </w:rPr>
  </w:style>
  <w:style w:type="paragraph" w:customStyle="1" w:styleId="ui-state-focus">
    <w:name w:val="ui-state-focus"/>
    <w:basedOn w:val="Normal"/>
    <w:pPr>
      <w:pBdr>
        <w:top w:val="single" w:sz="6" w:space="0" w:color="A45B13"/>
        <w:left w:val="single" w:sz="6" w:space="0" w:color="A45B13"/>
        <w:bottom w:val="single" w:sz="6" w:space="0" w:color="A45B13"/>
        <w:right w:val="single" w:sz="6" w:space="0" w:color="A45B13"/>
      </w:pBdr>
      <w:shd w:val="clear" w:color="auto" w:fill="FFDD57"/>
      <w:spacing w:after="150"/>
    </w:pPr>
    <w:rPr>
      <w:b/>
      <w:bCs/>
      <w:color w:val="381F00"/>
    </w:rPr>
  </w:style>
  <w:style w:type="paragraph" w:customStyle="1" w:styleId="ui-state-active">
    <w:name w:val="ui-state-active"/>
    <w:basedOn w:val="Normal"/>
    <w:pPr>
      <w:pBdr>
        <w:top w:val="single" w:sz="6" w:space="0" w:color="655E4E"/>
        <w:left w:val="single" w:sz="6" w:space="0" w:color="655E4E"/>
        <w:bottom w:val="single" w:sz="6" w:space="0" w:color="655E4E"/>
        <w:right w:val="single" w:sz="6" w:space="0" w:color="655E4E"/>
      </w:pBdr>
      <w:shd w:val="clear" w:color="auto" w:fill="FFFFFF"/>
      <w:spacing w:after="150"/>
    </w:pPr>
    <w:rPr>
      <w:b/>
      <w:bCs/>
      <w:color w:val="0074C7"/>
    </w:rPr>
  </w:style>
  <w:style w:type="paragraph" w:customStyle="1" w:styleId="ui-state-highlight">
    <w:name w:val="ui-state-highlight"/>
    <w:basedOn w:val="Normal"/>
    <w:pPr>
      <w:pBdr>
        <w:top w:val="single" w:sz="6" w:space="0" w:color="EEB420"/>
        <w:left w:val="single" w:sz="6" w:space="0" w:color="EEB420"/>
        <w:bottom w:val="single" w:sz="6" w:space="0" w:color="EEB420"/>
        <w:right w:val="single" w:sz="6" w:space="0" w:color="EEB420"/>
      </w:pBdr>
      <w:spacing w:after="150"/>
    </w:pPr>
    <w:rPr>
      <w:color w:val="1F1F1F"/>
    </w:rPr>
  </w:style>
  <w:style w:type="paragraph" w:customStyle="1" w:styleId="ui-state-error">
    <w:name w:val="ui-state-error"/>
    <w:basedOn w:val="Normal"/>
    <w:pPr>
      <w:pBdr>
        <w:top w:val="single" w:sz="6" w:space="0" w:color="FFB73D"/>
        <w:left w:val="single" w:sz="6" w:space="0" w:color="FFB73D"/>
        <w:bottom w:val="single" w:sz="6" w:space="0" w:color="FFB73D"/>
        <w:right w:val="single" w:sz="6" w:space="0" w:color="FFB73D"/>
      </w:pBdr>
      <w:shd w:val="clear" w:color="auto" w:fill="D34D17"/>
      <w:spacing w:after="150"/>
    </w:pPr>
    <w:rPr>
      <w:color w:val="FFFFFF"/>
    </w:rPr>
  </w:style>
  <w:style w:type="paragraph" w:customStyle="1" w:styleId="ui-state-error-text">
    <w:name w:val="ui-state-error-text"/>
    <w:basedOn w:val="Normal"/>
    <w:pPr>
      <w:spacing w:after="150"/>
    </w:pPr>
    <w:rPr>
      <w:color w:val="FFFFFF"/>
    </w:rPr>
  </w:style>
  <w:style w:type="paragraph" w:customStyle="1" w:styleId="ui-priority-primary">
    <w:name w:val="ui-priority-primary"/>
    <w:basedOn w:val="Normal"/>
    <w:pPr>
      <w:spacing w:after="150"/>
    </w:pPr>
    <w:rPr>
      <w:b/>
      <w:bCs/>
    </w:rPr>
  </w:style>
  <w:style w:type="paragraph" w:customStyle="1" w:styleId="ui-priority-secondary">
    <w:name w:val="ui-priority-secondary"/>
    <w:basedOn w:val="Normal"/>
    <w:pPr>
      <w:spacing w:after="150"/>
    </w:pPr>
  </w:style>
  <w:style w:type="paragraph" w:customStyle="1" w:styleId="ui-state-disabled">
    <w:name w:val="ui-state-disabled"/>
    <w:basedOn w:val="Normal"/>
    <w:pPr>
      <w:spacing w:after="150"/>
    </w:pPr>
  </w:style>
  <w:style w:type="paragraph" w:customStyle="1" w:styleId="ui-widget-shadow">
    <w:name w:val="ui-widget-shadow"/>
    <w:basedOn w:val="Normal"/>
    <w:pPr>
      <w:shd w:val="clear" w:color="auto" w:fill="CCCCCC"/>
      <w:ind w:left="-105"/>
    </w:pPr>
  </w:style>
  <w:style w:type="paragraph" w:customStyle="1" w:styleId="ui-resizable-handle">
    <w:name w:val="ui-resizable-handle"/>
    <w:basedOn w:val="Normal"/>
    <w:pPr>
      <w:spacing w:after="150"/>
    </w:pPr>
    <w:rPr>
      <w:sz w:val="2"/>
      <w:szCs w:val="2"/>
    </w:rPr>
  </w:style>
  <w:style w:type="paragraph" w:customStyle="1" w:styleId="ui-resizable-n">
    <w:name w:val="ui-resizable-n"/>
    <w:basedOn w:val="Normal"/>
    <w:pPr>
      <w:spacing w:after="150"/>
    </w:pPr>
  </w:style>
  <w:style w:type="paragraph" w:customStyle="1" w:styleId="ui-resizable-s">
    <w:name w:val="ui-resizable-s"/>
    <w:basedOn w:val="Normal"/>
    <w:pPr>
      <w:spacing w:after="150"/>
    </w:pPr>
  </w:style>
  <w:style w:type="paragraph" w:customStyle="1" w:styleId="ui-resizable-e">
    <w:name w:val="ui-resizable-e"/>
    <w:basedOn w:val="Normal"/>
    <w:pPr>
      <w:spacing w:after="150"/>
    </w:pPr>
  </w:style>
  <w:style w:type="paragraph" w:customStyle="1" w:styleId="ui-resizable-w">
    <w:name w:val="ui-resizable-w"/>
    <w:basedOn w:val="Normal"/>
    <w:pPr>
      <w:spacing w:after="150"/>
    </w:pPr>
  </w:style>
  <w:style w:type="paragraph" w:customStyle="1" w:styleId="ui-resizable-se">
    <w:name w:val="ui-resizable-se"/>
    <w:basedOn w:val="Normal"/>
    <w:pPr>
      <w:spacing w:after="150"/>
    </w:pPr>
  </w:style>
  <w:style w:type="paragraph" w:customStyle="1" w:styleId="ui-resizable-sw">
    <w:name w:val="ui-resizable-sw"/>
    <w:basedOn w:val="Normal"/>
    <w:pPr>
      <w:spacing w:after="150"/>
    </w:pPr>
  </w:style>
  <w:style w:type="paragraph" w:customStyle="1" w:styleId="ui-resizable-nw">
    <w:name w:val="ui-resizable-nw"/>
    <w:basedOn w:val="Normal"/>
    <w:pPr>
      <w:spacing w:after="150"/>
    </w:pPr>
  </w:style>
  <w:style w:type="paragraph" w:customStyle="1" w:styleId="ui-resizable-ne">
    <w:name w:val="ui-resizable-ne"/>
    <w:basedOn w:val="Normal"/>
    <w:pPr>
      <w:spacing w:after="150"/>
    </w:pPr>
  </w:style>
  <w:style w:type="paragraph" w:customStyle="1" w:styleId="ui-selectable-helper">
    <w:name w:val="ui-selectable-helper"/>
    <w:basedOn w:val="Normal"/>
    <w:pPr>
      <w:pBdr>
        <w:top w:val="dotted" w:sz="6" w:space="0" w:color="000000"/>
        <w:left w:val="dotted" w:sz="6" w:space="0" w:color="000000"/>
        <w:bottom w:val="dotted" w:sz="6" w:space="0" w:color="000000"/>
        <w:right w:val="dotted" w:sz="6" w:space="0" w:color="000000"/>
      </w:pBdr>
      <w:spacing w:after="150"/>
    </w:pPr>
  </w:style>
  <w:style w:type="paragraph" w:customStyle="1" w:styleId="ui-accordion">
    <w:name w:val="ui-accordion"/>
    <w:basedOn w:val="Normal"/>
    <w:pPr>
      <w:spacing w:after="150"/>
    </w:pPr>
  </w:style>
  <w:style w:type="paragraph" w:customStyle="1" w:styleId="ui-menu">
    <w:name w:val="ui-menu"/>
    <w:basedOn w:val="Normal"/>
  </w:style>
  <w:style w:type="paragraph" w:customStyle="1" w:styleId="ui-button">
    <w:name w:val="ui-button"/>
    <w:basedOn w:val="Normal"/>
    <w:pPr>
      <w:spacing w:after="150"/>
      <w:ind w:right="24"/>
      <w:jc w:val="center"/>
    </w:pPr>
  </w:style>
  <w:style w:type="paragraph" w:customStyle="1" w:styleId="ui-button-icon-only">
    <w:name w:val="ui-button-icon-only"/>
    <w:basedOn w:val="Normal"/>
    <w:pPr>
      <w:spacing w:after="150"/>
    </w:pPr>
  </w:style>
  <w:style w:type="paragraph" w:customStyle="1" w:styleId="ui-button-icons-only">
    <w:name w:val="ui-button-icons-only"/>
    <w:basedOn w:val="Normal"/>
    <w:pPr>
      <w:spacing w:after="150"/>
    </w:pPr>
  </w:style>
  <w:style w:type="paragraph" w:customStyle="1" w:styleId="ui-buttonset">
    <w:name w:val="ui-buttonset"/>
    <w:basedOn w:val="Normal"/>
    <w:pPr>
      <w:spacing w:after="150"/>
      <w:ind w:right="105"/>
    </w:pPr>
  </w:style>
  <w:style w:type="paragraph" w:customStyle="1" w:styleId="ui-dialog">
    <w:name w:val="ui-dialog"/>
    <w:basedOn w:val="Normal"/>
    <w:pPr>
      <w:spacing w:after="150"/>
    </w:pPr>
  </w:style>
  <w:style w:type="paragraph" w:customStyle="1" w:styleId="ui-slider">
    <w:name w:val="ui-slider"/>
    <w:basedOn w:val="Normal"/>
    <w:pPr>
      <w:spacing w:after="150"/>
    </w:pPr>
  </w:style>
  <w:style w:type="paragraph" w:customStyle="1" w:styleId="ui-slider-horizontal">
    <w:name w:val="ui-slider-horizontal"/>
    <w:basedOn w:val="Normal"/>
    <w:pPr>
      <w:spacing w:after="150"/>
    </w:pPr>
  </w:style>
  <w:style w:type="paragraph" w:customStyle="1" w:styleId="ui-slider-vertical">
    <w:name w:val="ui-slider-vertical"/>
    <w:basedOn w:val="Normal"/>
    <w:pPr>
      <w:spacing w:after="150"/>
    </w:pPr>
  </w:style>
  <w:style w:type="paragraph" w:customStyle="1" w:styleId="ui-tabs">
    <w:name w:val="ui-tabs"/>
    <w:basedOn w:val="Normal"/>
    <w:pPr>
      <w:spacing w:after="150"/>
    </w:pPr>
  </w:style>
  <w:style w:type="paragraph" w:customStyle="1" w:styleId="ui-datepicker">
    <w:name w:val="ui-datepicker"/>
    <w:basedOn w:val="Normal"/>
    <w:pPr>
      <w:spacing w:after="150"/>
    </w:pPr>
    <w:rPr>
      <w:vanish/>
      <w:sz w:val="21"/>
      <w:szCs w:val="21"/>
    </w:rPr>
  </w:style>
  <w:style w:type="paragraph" w:customStyle="1" w:styleId="ui-datepicker-row-break">
    <w:name w:val="ui-datepicker-row-break"/>
    <w:basedOn w:val="Normal"/>
    <w:pPr>
      <w:spacing w:after="150"/>
    </w:pPr>
    <w:rPr>
      <w:sz w:val="2"/>
      <w:szCs w:val="2"/>
    </w:rPr>
  </w:style>
  <w:style w:type="paragraph" w:customStyle="1" w:styleId="ui-datepicker-rtl">
    <w:name w:val="ui-datepicker-rtl"/>
    <w:basedOn w:val="Normal"/>
    <w:pPr>
      <w:bidi/>
      <w:spacing w:after="150"/>
    </w:pPr>
  </w:style>
  <w:style w:type="paragraph" w:customStyle="1" w:styleId="ui-datepicker-cover">
    <w:name w:val="ui-datepicker-cover"/>
    <w:basedOn w:val="Normal"/>
    <w:pPr>
      <w:spacing w:after="150"/>
    </w:pPr>
  </w:style>
  <w:style w:type="paragraph" w:customStyle="1" w:styleId="ui-progressbar">
    <w:name w:val="ui-progressbar"/>
    <w:basedOn w:val="Normal"/>
    <w:pPr>
      <w:spacing w:after="150"/>
    </w:pPr>
  </w:style>
  <w:style w:type="paragraph" w:customStyle="1" w:styleId="nowrap">
    <w:name w:val="nowrap"/>
    <w:basedOn w:val="Normal"/>
    <w:pPr>
      <w:spacing w:after="150"/>
    </w:pPr>
  </w:style>
  <w:style w:type="paragraph" w:customStyle="1" w:styleId="numberonly">
    <w:name w:val="numberonly"/>
    <w:basedOn w:val="Normal"/>
    <w:pPr>
      <w:spacing w:after="150"/>
    </w:pPr>
    <w:rPr>
      <w:color w:val="FF0000"/>
      <w:sz w:val="15"/>
      <w:szCs w:val="15"/>
    </w:rPr>
  </w:style>
  <w:style w:type="paragraph" w:customStyle="1" w:styleId="results-only">
    <w:name w:val="results-only"/>
    <w:basedOn w:val="Normal"/>
    <w:pPr>
      <w:spacing w:after="150"/>
    </w:pPr>
    <w:rPr>
      <w:vanish/>
    </w:rPr>
  </w:style>
  <w:style w:type="paragraph" w:customStyle="1" w:styleId="langpos">
    <w:name w:val="langpos"/>
    <w:basedOn w:val="Normal"/>
    <w:pPr>
      <w:spacing w:after="150"/>
    </w:pPr>
  </w:style>
  <w:style w:type="paragraph" w:customStyle="1" w:styleId="langopspos">
    <w:name w:val="langopspos"/>
    <w:basedOn w:val="Normal"/>
    <w:pPr>
      <w:bidi/>
      <w:spacing w:after="150"/>
    </w:pPr>
  </w:style>
  <w:style w:type="paragraph" w:customStyle="1" w:styleId="poweredby">
    <w:name w:val="poweredby"/>
    <w:basedOn w:val="Normal"/>
    <w:pPr>
      <w:pBdr>
        <w:top w:val="single" w:sz="6" w:space="8" w:color="EEEEEE"/>
        <w:left w:val="single" w:sz="6" w:space="8" w:color="EEEEEE"/>
        <w:bottom w:val="single" w:sz="6" w:space="8" w:color="EEEEEE"/>
        <w:right w:val="single" w:sz="6" w:space="8" w:color="EEEEEE"/>
      </w:pBdr>
      <w:shd w:val="clear" w:color="auto" w:fill="FFFFFF"/>
      <w:spacing w:before="300" w:after="300"/>
      <w:jc w:val="center"/>
    </w:pPr>
    <w:rPr>
      <w:sz w:val="18"/>
      <w:szCs w:val="18"/>
    </w:rPr>
  </w:style>
  <w:style w:type="paragraph" w:customStyle="1" w:styleId="ss-preview-bar">
    <w:name w:val="ss-preview-bar"/>
    <w:basedOn w:val="Normal"/>
    <w:pPr>
      <w:shd w:val="clear" w:color="auto" w:fill="FFFFCC"/>
      <w:spacing w:after="150"/>
    </w:pPr>
    <w:rPr>
      <w:color w:val="000000"/>
    </w:rPr>
  </w:style>
  <w:style w:type="paragraph" w:customStyle="1" w:styleId="ss-language-boxes">
    <w:name w:val="ss-language-boxes"/>
    <w:basedOn w:val="Normal"/>
    <w:pPr>
      <w:spacing w:before="300" w:after="300"/>
    </w:pPr>
  </w:style>
  <w:style w:type="paragraph" w:customStyle="1" w:styleId="ss-language-boxes-2">
    <w:name w:val="ss-language-boxes-2"/>
    <w:basedOn w:val="Normal"/>
    <w:pPr>
      <w:spacing w:before="300" w:after="300"/>
    </w:pPr>
  </w:style>
  <w:style w:type="paragraph" w:customStyle="1" w:styleId="pa0">
    <w:name w:val="pa0"/>
    <w:basedOn w:val="Normal"/>
    <w:pPr>
      <w:spacing w:after="150"/>
    </w:pPr>
  </w:style>
  <w:style w:type="paragraph" w:customStyle="1" w:styleId="pa5">
    <w:name w:val="pa5"/>
    <w:basedOn w:val="Normal"/>
    <w:pPr>
      <w:spacing w:after="150"/>
    </w:pPr>
  </w:style>
  <w:style w:type="paragraph" w:customStyle="1" w:styleId="pa7">
    <w:name w:val="pa7"/>
    <w:basedOn w:val="Normal"/>
    <w:pPr>
      <w:spacing w:after="150"/>
    </w:pPr>
  </w:style>
  <w:style w:type="paragraph" w:customStyle="1" w:styleId="ma0">
    <w:name w:val="ma0"/>
    <w:basedOn w:val="Normal"/>
  </w:style>
  <w:style w:type="paragraph" w:customStyle="1" w:styleId="mt5">
    <w:name w:val="mt5"/>
    <w:basedOn w:val="Normal"/>
    <w:pPr>
      <w:spacing w:before="75" w:after="150"/>
    </w:pPr>
  </w:style>
  <w:style w:type="paragraph" w:customStyle="1" w:styleId="mt10">
    <w:name w:val="mt10"/>
    <w:basedOn w:val="Normal"/>
    <w:pPr>
      <w:spacing w:before="150" w:after="150"/>
    </w:pPr>
  </w:style>
  <w:style w:type="paragraph" w:customStyle="1" w:styleId="mt20">
    <w:name w:val="mt20"/>
    <w:basedOn w:val="Normal"/>
    <w:pPr>
      <w:spacing w:before="300" w:after="150"/>
    </w:pPr>
  </w:style>
  <w:style w:type="paragraph" w:customStyle="1" w:styleId="mb10">
    <w:name w:val="mb10"/>
    <w:basedOn w:val="Normal"/>
    <w:pPr>
      <w:spacing w:after="150"/>
    </w:pPr>
  </w:style>
  <w:style w:type="paragraph" w:customStyle="1" w:styleId="mb20">
    <w:name w:val="mb20"/>
    <w:basedOn w:val="Normal"/>
    <w:pPr>
      <w:spacing w:after="300"/>
    </w:pPr>
  </w:style>
  <w:style w:type="paragraph" w:customStyle="1" w:styleId="ml0">
    <w:name w:val="ml0"/>
    <w:basedOn w:val="Normal"/>
    <w:pPr>
      <w:spacing w:after="150"/>
    </w:pPr>
  </w:style>
  <w:style w:type="paragraph" w:customStyle="1" w:styleId="ml5">
    <w:name w:val="ml5"/>
    <w:basedOn w:val="Normal"/>
    <w:pPr>
      <w:spacing w:after="150"/>
      <w:ind w:left="75"/>
    </w:pPr>
  </w:style>
  <w:style w:type="paragraph" w:customStyle="1" w:styleId="pt10">
    <w:name w:val="pt10"/>
    <w:basedOn w:val="Normal"/>
    <w:pPr>
      <w:spacing w:after="150"/>
    </w:pPr>
  </w:style>
  <w:style w:type="paragraph" w:customStyle="1" w:styleId="pt20">
    <w:name w:val="pt20"/>
    <w:basedOn w:val="Normal"/>
    <w:pPr>
      <w:spacing w:after="150"/>
    </w:pPr>
  </w:style>
  <w:style w:type="paragraph" w:customStyle="1" w:styleId="pt15">
    <w:name w:val="pt15"/>
    <w:basedOn w:val="Normal"/>
    <w:pPr>
      <w:spacing w:after="150"/>
    </w:pPr>
  </w:style>
  <w:style w:type="paragraph" w:customStyle="1" w:styleId="pl10">
    <w:name w:val="pl10"/>
    <w:basedOn w:val="Normal"/>
    <w:pPr>
      <w:spacing w:after="150"/>
    </w:pPr>
  </w:style>
  <w:style w:type="paragraph" w:customStyle="1" w:styleId="pbc">
    <w:name w:val="pbc"/>
    <w:basedOn w:val="Normal"/>
    <w:pPr>
      <w:spacing w:after="150"/>
    </w:pPr>
  </w:style>
  <w:style w:type="paragraph" w:customStyle="1" w:styleId="pr15">
    <w:name w:val="_pr15"/>
    <w:basedOn w:val="Normal"/>
    <w:pPr>
      <w:spacing w:after="150"/>
    </w:pPr>
  </w:style>
  <w:style w:type="paragraph" w:customStyle="1" w:styleId="pr25">
    <w:name w:val="_pr25"/>
    <w:basedOn w:val="Normal"/>
    <w:pPr>
      <w:spacing w:after="150"/>
    </w:pPr>
  </w:style>
  <w:style w:type="paragraph" w:customStyle="1" w:styleId="fh">
    <w:name w:val="fh"/>
    <w:basedOn w:val="Normal"/>
    <w:pPr>
      <w:spacing w:after="150"/>
    </w:pPr>
  </w:style>
  <w:style w:type="paragraph" w:customStyle="1" w:styleId="w1">
    <w:name w:val="w1"/>
    <w:basedOn w:val="Normal"/>
    <w:pPr>
      <w:spacing w:after="150"/>
    </w:pPr>
  </w:style>
  <w:style w:type="paragraph" w:customStyle="1" w:styleId="w25">
    <w:name w:val="w25"/>
    <w:basedOn w:val="Normal"/>
    <w:pPr>
      <w:spacing w:after="150"/>
    </w:pPr>
  </w:style>
  <w:style w:type="paragraph" w:customStyle="1" w:styleId="w150">
    <w:name w:val="w150"/>
    <w:basedOn w:val="Normal"/>
    <w:pPr>
      <w:spacing w:after="150"/>
    </w:pPr>
  </w:style>
  <w:style w:type="paragraph" w:customStyle="1" w:styleId="w1p">
    <w:name w:val="w1p"/>
    <w:basedOn w:val="Normal"/>
    <w:pPr>
      <w:spacing w:after="150"/>
    </w:pPr>
  </w:style>
  <w:style w:type="paragraph" w:customStyle="1" w:styleId="w33p">
    <w:name w:val="w33p"/>
    <w:basedOn w:val="Normal"/>
    <w:pPr>
      <w:spacing w:after="150"/>
    </w:pPr>
  </w:style>
  <w:style w:type="paragraph" w:customStyle="1" w:styleId="w66p">
    <w:name w:val="w66p"/>
    <w:basedOn w:val="Normal"/>
    <w:pPr>
      <w:spacing w:after="150"/>
    </w:pPr>
  </w:style>
  <w:style w:type="paragraph" w:customStyle="1" w:styleId="w14p">
    <w:name w:val="w14p"/>
    <w:basedOn w:val="Normal"/>
    <w:pPr>
      <w:spacing w:after="150"/>
    </w:pPr>
  </w:style>
  <w:style w:type="paragraph" w:customStyle="1" w:styleId="w86p">
    <w:name w:val="w86p"/>
    <w:basedOn w:val="Normal"/>
    <w:pPr>
      <w:spacing w:after="150"/>
    </w:pPr>
  </w:style>
  <w:style w:type="paragraph" w:customStyle="1" w:styleId="w99p">
    <w:name w:val="w99p"/>
    <w:basedOn w:val="Normal"/>
    <w:pPr>
      <w:spacing w:after="150"/>
    </w:pPr>
  </w:style>
  <w:style w:type="paragraph" w:customStyle="1" w:styleId="w100p">
    <w:name w:val="w100p"/>
    <w:basedOn w:val="Normal"/>
    <w:pPr>
      <w:spacing w:after="150"/>
    </w:pPr>
  </w:style>
  <w:style w:type="paragraph" w:customStyle="1" w:styleId="c000">
    <w:name w:val="c000"/>
    <w:basedOn w:val="Normal"/>
    <w:pPr>
      <w:spacing w:after="150"/>
    </w:pPr>
    <w:rPr>
      <w:color w:val="000000"/>
    </w:rPr>
  </w:style>
  <w:style w:type="paragraph" w:customStyle="1" w:styleId="c666">
    <w:name w:val="c666"/>
    <w:basedOn w:val="Normal"/>
    <w:pPr>
      <w:spacing w:after="150"/>
    </w:pPr>
    <w:rPr>
      <w:color w:val="666666"/>
    </w:rPr>
  </w:style>
  <w:style w:type="paragraph" w:customStyle="1" w:styleId="am">
    <w:name w:val="am"/>
    <w:basedOn w:val="Normal"/>
    <w:pPr>
      <w:spacing w:after="150"/>
    </w:pPr>
  </w:style>
  <w:style w:type="paragraph" w:customStyle="1" w:styleId="table-ac">
    <w:name w:val="table-ac"/>
    <w:basedOn w:val="Normal"/>
    <w:pPr>
      <w:spacing w:after="150"/>
    </w:pPr>
  </w:style>
  <w:style w:type="paragraph" w:customStyle="1" w:styleId="v-at">
    <w:name w:val="v-at"/>
    <w:basedOn w:val="Normal"/>
    <w:pPr>
      <w:spacing w:after="150"/>
      <w:textAlignment w:val="top"/>
    </w:pPr>
  </w:style>
  <w:style w:type="paragraph" w:customStyle="1" w:styleId="v-am">
    <w:name w:val="v-am"/>
    <w:basedOn w:val="Normal"/>
    <w:pPr>
      <w:spacing w:after="150"/>
      <w:textAlignment w:val="center"/>
    </w:pPr>
  </w:style>
  <w:style w:type="paragraph" w:customStyle="1" w:styleId="ac">
    <w:name w:val="ac"/>
    <w:basedOn w:val="Normal"/>
    <w:pPr>
      <w:spacing w:after="150"/>
      <w:jc w:val="center"/>
    </w:pPr>
  </w:style>
  <w:style w:type="paragraph" w:customStyle="1" w:styleId="al">
    <w:name w:val="al"/>
    <w:basedOn w:val="Normal"/>
    <w:pPr>
      <w:spacing w:after="150"/>
    </w:pPr>
  </w:style>
  <w:style w:type="paragraph" w:customStyle="1" w:styleId="ar">
    <w:name w:val="ar"/>
    <w:basedOn w:val="Normal"/>
    <w:pPr>
      <w:spacing w:after="150"/>
      <w:jc w:val="right"/>
    </w:pPr>
  </w:style>
  <w:style w:type="paragraph" w:customStyle="1" w:styleId="clear">
    <w:name w:val="clear"/>
    <w:basedOn w:val="Normal"/>
    <w:pPr>
      <w:spacing w:after="150"/>
    </w:pPr>
  </w:style>
  <w:style w:type="paragraph" w:customStyle="1" w:styleId="ss-col1">
    <w:name w:val="ss-col1"/>
    <w:basedOn w:val="Normal"/>
    <w:pPr>
      <w:spacing w:after="150"/>
    </w:pPr>
  </w:style>
  <w:style w:type="paragraph" w:customStyle="1" w:styleId="ss-col2">
    <w:name w:val="ss-col2"/>
    <w:basedOn w:val="Normal"/>
    <w:pPr>
      <w:spacing w:after="150"/>
    </w:pPr>
  </w:style>
  <w:style w:type="paragraph" w:customStyle="1" w:styleId="ss-col3">
    <w:name w:val="ss-col3"/>
    <w:basedOn w:val="Normal"/>
    <w:pPr>
      <w:spacing w:after="150"/>
    </w:pPr>
  </w:style>
  <w:style w:type="paragraph" w:customStyle="1" w:styleId="ss-col4">
    <w:name w:val="ss-col4"/>
    <w:basedOn w:val="Normal"/>
    <w:pPr>
      <w:spacing w:after="150"/>
    </w:pPr>
  </w:style>
  <w:style w:type="paragraph" w:customStyle="1" w:styleId="ui-datepicker-trigger">
    <w:name w:val="ui-datepicker-trigger"/>
    <w:basedOn w:val="Normal"/>
    <w:pPr>
      <w:spacing w:after="150"/>
      <w:textAlignment w:val="center"/>
    </w:pPr>
  </w:style>
  <w:style w:type="paragraph" w:customStyle="1" w:styleId="ui-datepicker-month">
    <w:name w:val="ui-datepicker-month"/>
    <w:basedOn w:val="Normal"/>
    <w:pPr>
      <w:spacing w:after="150"/>
    </w:pPr>
    <w:rPr>
      <w:color w:val="000000"/>
    </w:rPr>
  </w:style>
  <w:style w:type="paragraph" w:customStyle="1" w:styleId="ui-datepicker-year">
    <w:name w:val="ui-datepicker-year"/>
    <w:basedOn w:val="Normal"/>
    <w:pPr>
      <w:spacing w:after="150"/>
    </w:pPr>
    <w:rPr>
      <w:color w:val="000000"/>
    </w:rPr>
  </w:style>
  <w:style w:type="paragraph" w:customStyle="1" w:styleId="ss-row-total">
    <w:name w:val="ss-row-total"/>
    <w:basedOn w:val="Normal"/>
    <w:pPr>
      <w:pBdr>
        <w:top w:val="single" w:sz="6" w:space="0" w:color="CCCCCC"/>
        <w:left w:val="single" w:sz="6" w:space="0" w:color="CCCCCC"/>
        <w:bottom w:val="single" w:sz="6" w:space="0" w:color="CCCCCC"/>
        <w:right w:val="single" w:sz="6" w:space="0" w:color="CCCCCC"/>
      </w:pBdr>
      <w:spacing w:after="150"/>
    </w:pPr>
  </w:style>
  <w:style w:type="paragraph" w:customStyle="1" w:styleId="ss-input-slider">
    <w:name w:val="ss-input-slider"/>
    <w:basedOn w:val="Normal"/>
    <w:pPr>
      <w:spacing w:after="150"/>
    </w:pPr>
  </w:style>
  <w:style w:type="paragraph" w:customStyle="1" w:styleId="ss-slider-value">
    <w:name w:val="ss-slider-value"/>
    <w:basedOn w:val="Normal"/>
    <w:pPr>
      <w:spacing w:after="150"/>
    </w:pPr>
  </w:style>
  <w:style w:type="paragraph" w:customStyle="1" w:styleId="ss-slider-single">
    <w:name w:val="ss-slider-single"/>
    <w:basedOn w:val="Normal"/>
    <w:pPr>
      <w:spacing w:before="150" w:after="150"/>
    </w:pPr>
  </w:style>
  <w:style w:type="paragraph" w:customStyle="1" w:styleId="messageholder">
    <w:name w:val="messageholder"/>
    <w:basedOn w:val="Normal"/>
  </w:style>
  <w:style w:type="paragraph" w:customStyle="1" w:styleId="questionmargin">
    <w:name w:val="questionmargin"/>
    <w:basedOn w:val="Normal"/>
    <w:pPr>
      <w:spacing w:before="150"/>
      <w:ind w:left="270" w:right="270"/>
    </w:pPr>
  </w:style>
  <w:style w:type="paragraph" w:customStyle="1" w:styleId="ss-col">
    <w:name w:val="ss-col"/>
    <w:basedOn w:val="Normal"/>
    <w:pPr>
      <w:spacing w:after="150"/>
      <w:jc w:val="center"/>
    </w:pPr>
  </w:style>
  <w:style w:type="paragraph" w:customStyle="1" w:styleId="ss-cell">
    <w:name w:val="ss-cell"/>
    <w:basedOn w:val="Normal"/>
    <w:pPr>
      <w:spacing w:after="150"/>
      <w:jc w:val="center"/>
    </w:pPr>
  </w:style>
  <w:style w:type="paragraph" w:customStyle="1" w:styleId="ss-page-title">
    <w:name w:val="ss-page-title"/>
    <w:basedOn w:val="Normal"/>
    <w:pPr>
      <w:spacing w:before="600" w:after="150"/>
    </w:pPr>
    <w:rPr>
      <w:b/>
      <w:bCs/>
      <w:sz w:val="36"/>
      <w:szCs w:val="36"/>
    </w:rPr>
  </w:style>
  <w:style w:type="paragraph" w:customStyle="1" w:styleId="form-control-feedback">
    <w:name w:val="form-control-feedback"/>
    <w:basedOn w:val="Normal"/>
    <w:pPr>
      <w:spacing w:after="150"/>
    </w:pPr>
  </w:style>
  <w:style w:type="paragraph" w:customStyle="1" w:styleId="control-label">
    <w:name w:val="control-label"/>
    <w:basedOn w:val="Normal"/>
    <w:pPr>
      <w:spacing w:after="150"/>
    </w:pPr>
  </w:style>
  <w:style w:type="paragraph" w:customStyle="1" w:styleId="divider">
    <w:name w:val="divider"/>
    <w:basedOn w:val="Normal"/>
    <w:pPr>
      <w:spacing w:after="150"/>
    </w:pPr>
  </w:style>
  <w:style w:type="paragraph" w:customStyle="1" w:styleId="nav-divider">
    <w:name w:val="nav-divider"/>
    <w:basedOn w:val="Normal"/>
    <w:pPr>
      <w:spacing w:after="150"/>
    </w:pPr>
  </w:style>
  <w:style w:type="paragraph" w:customStyle="1" w:styleId="icon-bar">
    <w:name w:val="icon-bar"/>
    <w:basedOn w:val="Normal"/>
    <w:pPr>
      <w:spacing w:after="150"/>
    </w:pPr>
  </w:style>
  <w:style w:type="paragraph" w:customStyle="1" w:styleId="navbar-link">
    <w:name w:val="navbar-link"/>
    <w:basedOn w:val="Normal"/>
    <w:pPr>
      <w:spacing w:after="150"/>
    </w:pPr>
  </w:style>
  <w:style w:type="paragraph" w:styleId="Caption">
    <w:name w:val="caption"/>
    <w:basedOn w:val="Normal"/>
    <w:pPr>
      <w:spacing w:after="150"/>
    </w:pPr>
  </w:style>
  <w:style w:type="paragraph" w:customStyle="1" w:styleId="alert-link">
    <w:name w:val="alert-link"/>
    <w:basedOn w:val="Normal"/>
    <w:pPr>
      <w:spacing w:after="150"/>
    </w:pPr>
  </w:style>
  <w:style w:type="paragraph" w:customStyle="1" w:styleId="icon-prev">
    <w:name w:val="icon-prev"/>
    <w:basedOn w:val="Normal"/>
    <w:pPr>
      <w:spacing w:after="150"/>
    </w:pPr>
  </w:style>
  <w:style w:type="paragraph" w:customStyle="1" w:styleId="icon-next">
    <w:name w:val="icon-next"/>
    <w:basedOn w:val="Normal"/>
    <w:pPr>
      <w:spacing w:after="150"/>
    </w:pPr>
  </w:style>
  <w:style w:type="paragraph" w:customStyle="1" w:styleId="active">
    <w:name w:val="active"/>
    <w:basedOn w:val="Normal"/>
    <w:pPr>
      <w:spacing w:after="150"/>
    </w:pPr>
  </w:style>
  <w:style w:type="paragraph" w:customStyle="1" w:styleId="ss-home-title">
    <w:name w:val="ss-home-title"/>
    <w:basedOn w:val="Normal"/>
    <w:pPr>
      <w:spacing w:after="150"/>
    </w:pPr>
  </w:style>
  <w:style w:type="paragraph" w:customStyle="1" w:styleId="ss-list-holder">
    <w:name w:val="ss-list-holder"/>
    <w:basedOn w:val="Normal"/>
    <w:pPr>
      <w:spacing w:after="150"/>
    </w:pPr>
  </w:style>
  <w:style w:type="paragraph" w:customStyle="1" w:styleId="pass">
    <w:name w:val="pass"/>
    <w:basedOn w:val="Normal"/>
    <w:pPr>
      <w:spacing w:after="150"/>
    </w:pPr>
  </w:style>
  <w:style w:type="paragraph" w:customStyle="1" w:styleId="error">
    <w:name w:val="error"/>
    <w:basedOn w:val="Normal"/>
    <w:pPr>
      <w:spacing w:after="150"/>
    </w:pPr>
  </w:style>
  <w:style w:type="paragraph" w:customStyle="1" w:styleId="s11">
    <w:name w:val="s11"/>
    <w:basedOn w:val="Normal"/>
    <w:pPr>
      <w:spacing w:after="150"/>
    </w:pPr>
  </w:style>
  <w:style w:type="paragraph" w:customStyle="1" w:styleId="zebradialogtitle">
    <w:name w:val="zebradialog_title"/>
    <w:basedOn w:val="Normal"/>
    <w:pPr>
      <w:spacing w:after="150"/>
    </w:pPr>
  </w:style>
  <w:style w:type="paragraph" w:customStyle="1" w:styleId="zebradialogbody">
    <w:name w:val="zebradialog_body"/>
    <w:basedOn w:val="Normal"/>
    <w:pPr>
      <w:spacing w:after="150"/>
    </w:pPr>
  </w:style>
  <w:style w:type="paragraph" w:customStyle="1" w:styleId="zebradialogicon">
    <w:name w:val="zebradialog_icon"/>
    <w:basedOn w:val="Normal"/>
    <w:pPr>
      <w:spacing w:after="150"/>
    </w:pPr>
  </w:style>
  <w:style w:type="paragraph" w:customStyle="1" w:styleId="zebradialogconfirmation">
    <w:name w:val="zebradialog_confirmation"/>
    <w:basedOn w:val="Normal"/>
    <w:pPr>
      <w:spacing w:after="150"/>
    </w:pPr>
  </w:style>
  <w:style w:type="paragraph" w:customStyle="1" w:styleId="zebradialogerror">
    <w:name w:val="zebradialog_error"/>
    <w:basedOn w:val="Normal"/>
    <w:pPr>
      <w:spacing w:after="150"/>
    </w:pPr>
  </w:style>
  <w:style w:type="paragraph" w:customStyle="1" w:styleId="zebradialoginformation">
    <w:name w:val="zebradialog_information"/>
    <w:basedOn w:val="Normal"/>
    <w:pPr>
      <w:spacing w:after="150"/>
    </w:pPr>
  </w:style>
  <w:style w:type="paragraph" w:customStyle="1" w:styleId="zebradialogquestion">
    <w:name w:val="zebradialog_question"/>
    <w:basedOn w:val="Normal"/>
    <w:pPr>
      <w:spacing w:after="150"/>
    </w:pPr>
  </w:style>
  <w:style w:type="paragraph" w:customStyle="1" w:styleId="zebradialogwarning">
    <w:name w:val="zebradialog_warning"/>
    <w:basedOn w:val="Normal"/>
    <w:pPr>
      <w:spacing w:after="150"/>
    </w:pPr>
  </w:style>
  <w:style w:type="paragraph" w:customStyle="1" w:styleId="zebradialogbuttons">
    <w:name w:val="zebradialog_buttons"/>
    <w:basedOn w:val="Normal"/>
    <w:pPr>
      <w:spacing w:after="150"/>
    </w:pPr>
  </w:style>
  <w:style w:type="paragraph" w:customStyle="1" w:styleId="ui-accordion-header">
    <w:name w:val="ui-accordion-header"/>
    <w:basedOn w:val="Normal"/>
    <w:pPr>
      <w:spacing w:after="150"/>
    </w:pPr>
  </w:style>
  <w:style w:type="paragraph" w:customStyle="1" w:styleId="ui-accordion-li-fix">
    <w:name w:val="ui-accordion-li-fix"/>
    <w:basedOn w:val="Normal"/>
    <w:pPr>
      <w:spacing w:after="150"/>
    </w:pPr>
  </w:style>
  <w:style w:type="paragraph" w:customStyle="1" w:styleId="ui-accordion-content">
    <w:name w:val="ui-accordion-content"/>
    <w:basedOn w:val="Normal"/>
    <w:pPr>
      <w:spacing w:after="150"/>
    </w:pPr>
  </w:style>
  <w:style w:type="paragraph" w:customStyle="1" w:styleId="ui-accordion-content-active">
    <w:name w:val="ui-accordion-content-active"/>
    <w:basedOn w:val="Normal"/>
    <w:pPr>
      <w:spacing w:after="150"/>
    </w:pPr>
  </w:style>
  <w:style w:type="paragraph" w:customStyle="1" w:styleId="ui-menu-item">
    <w:name w:val="ui-menu-item"/>
    <w:basedOn w:val="Normal"/>
    <w:pPr>
      <w:spacing w:after="150"/>
    </w:pPr>
  </w:style>
  <w:style w:type="paragraph" w:customStyle="1" w:styleId="ui-button-text">
    <w:name w:val="ui-button-text"/>
    <w:basedOn w:val="Normal"/>
    <w:pPr>
      <w:spacing w:after="150"/>
    </w:pPr>
  </w:style>
  <w:style w:type="paragraph" w:customStyle="1" w:styleId="ui-dialog-titlebar">
    <w:name w:val="ui-dialog-titlebar"/>
    <w:basedOn w:val="Normal"/>
    <w:pPr>
      <w:spacing w:after="150"/>
    </w:pPr>
  </w:style>
  <w:style w:type="paragraph" w:customStyle="1" w:styleId="ui-dialog-title">
    <w:name w:val="ui-dialog-title"/>
    <w:basedOn w:val="Normal"/>
    <w:pPr>
      <w:spacing w:after="150"/>
    </w:pPr>
  </w:style>
  <w:style w:type="paragraph" w:customStyle="1" w:styleId="ui-dialog-titlebar-close">
    <w:name w:val="ui-dialog-titlebar-close"/>
    <w:basedOn w:val="Normal"/>
    <w:pPr>
      <w:spacing w:after="150"/>
    </w:pPr>
  </w:style>
  <w:style w:type="paragraph" w:customStyle="1" w:styleId="ui-dialog-content">
    <w:name w:val="ui-dialog-content"/>
    <w:basedOn w:val="Normal"/>
    <w:pPr>
      <w:spacing w:after="150"/>
    </w:pPr>
  </w:style>
  <w:style w:type="paragraph" w:customStyle="1" w:styleId="ui-dialog-buttonpane">
    <w:name w:val="ui-dialog-buttonpane"/>
    <w:basedOn w:val="Normal"/>
    <w:pPr>
      <w:spacing w:after="150"/>
    </w:pPr>
  </w:style>
  <w:style w:type="paragraph" w:customStyle="1" w:styleId="ui-slider-handle">
    <w:name w:val="ui-slider-handle"/>
    <w:basedOn w:val="Normal"/>
    <w:pPr>
      <w:spacing w:after="150"/>
    </w:pPr>
  </w:style>
  <w:style w:type="paragraph" w:customStyle="1" w:styleId="ui-slider-range">
    <w:name w:val="ui-slider-range"/>
    <w:basedOn w:val="Normal"/>
    <w:pPr>
      <w:spacing w:after="150"/>
    </w:pPr>
  </w:style>
  <w:style w:type="paragraph" w:customStyle="1" w:styleId="ui-tabs-nav">
    <w:name w:val="ui-tabs-nav"/>
    <w:basedOn w:val="Normal"/>
    <w:pPr>
      <w:spacing w:after="150"/>
    </w:pPr>
  </w:style>
  <w:style w:type="paragraph" w:customStyle="1" w:styleId="ui-tabs-panel">
    <w:name w:val="ui-tabs-panel"/>
    <w:basedOn w:val="Normal"/>
    <w:pPr>
      <w:spacing w:after="150"/>
    </w:pPr>
  </w:style>
  <w:style w:type="paragraph" w:customStyle="1" w:styleId="ui-datepicker-header">
    <w:name w:val="ui-datepicker-header"/>
    <w:basedOn w:val="Normal"/>
    <w:pPr>
      <w:spacing w:after="150"/>
    </w:pPr>
  </w:style>
  <w:style w:type="paragraph" w:customStyle="1" w:styleId="ui-datepicker-prev">
    <w:name w:val="ui-datepicker-prev"/>
    <w:basedOn w:val="Normal"/>
    <w:pPr>
      <w:spacing w:after="150"/>
    </w:pPr>
  </w:style>
  <w:style w:type="paragraph" w:customStyle="1" w:styleId="ui-datepicker-next">
    <w:name w:val="ui-datepicker-next"/>
    <w:basedOn w:val="Normal"/>
    <w:pPr>
      <w:spacing w:after="150"/>
    </w:pPr>
  </w:style>
  <w:style w:type="paragraph" w:customStyle="1" w:styleId="ui-datepicker-title">
    <w:name w:val="ui-datepicker-title"/>
    <w:basedOn w:val="Normal"/>
    <w:pPr>
      <w:spacing w:after="150"/>
    </w:pPr>
  </w:style>
  <w:style w:type="paragraph" w:customStyle="1" w:styleId="ui-datepicker-buttonpane">
    <w:name w:val="ui-datepicker-buttonpane"/>
    <w:basedOn w:val="Normal"/>
    <w:pPr>
      <w:spacing w:after="150"/>
    </w:pPr>
  </w:style>
  <w:style w:type="paragraph" w:customStyle="1" w:styleId="ui-datepicker-group">
    <w:name w:val="ui-datepicker-group"/>
    <w:basedOn w:val="Normal"/>
    <w:pPr>
      <w:spacing w:after="150"/>
    </w:pPr>
  </w:style>
  <w:style w:type="paragraph" w:customStyle="1" w:styleId="ui-progressbar-value">
    <w:name w:val="ui-progressbar-value"/>
    <w:basedOn w:val="Normal"/>
    <w:pPr>
      <w:spacing w:after="150"/>
    </w:pPr>
  </w:style>
  <w:style w:type="paragraph" w:customStyle="1" w:styleId="report-abuse">
    <w:name w:val="report-abuse"/>
    <w:basedOn w:val="Normal"/>
    <w:pPr>
      <w:spacing w:after="150"/>
    </w:pPr>
  </w:style>
  <w:style w:type="paragraph" w:customStyle="1" w:styleId="ss-language-bar">
    <w:name w:val="ss-language-bar"/>
    <w:basedOn w:val="Normal"/>
    <w:pPr>
      <w:spacing w:after="150"/>
    </w:pPr>
  </w:style>
  <w:style w:type="paragraph" w:styleId="Title">
    <w:name w:val="Title"/>
    <w:basedOn w:val="Normal"/>
    <w:pPr>
      <w:spacing w:after="150"/>
    </w:pPr>
  </w:style>
  <w:style w:type="paragraph" w:customStyle="1" w:styleId="desc">
    <w:name w:val="desc"/>
    <w:basedOn w:val="Normal"/>
    <w:pPr>
      <w:spacing w:after="150"/>
    </w:pPr>
  </w:style>
  <w:style w:type="paragraph" w:customStyle="1" w:styleId="paging">
    <w:name w:val="paging"/>
    <w:basedOn w:val="Normal"/>
    <w:pPr>
      <w:spacing w:after="150"/>
    </w:pPr>
  </w:style>
  <w:style w:type="paragraph" w:customStyle="1" w:styleId="ss-question-title">
    <w:name w:val="ss-question-title"/>
    <w:basedOn w:val="Normal"/>
    <w:pPr>
      <w:spacing w:after="150"/>
    </w:pPr>
  </w:style>
  <w:style w:type="paragraph" w:customStyle="1" w:styleId="ss-col-left">
    <w:name w:val="ss-col-left"/>
    <w:basedOn w:val="Normal"/>
    <w:pPr>
      <w:spacing w:after="150"/>
    </w:pPr>
  </w:style>
  <w:style w:type="paragraph" w:customStyle="1" w:styleId="ss-col-right">
    <w:name w:val="ss-col-right"/>
    <w:basedOn w:val="Normal"/>
    <w:pPr>
      <w:spacing w:after="150"/>
    </w:pPr>
  </w:style>
  <w:style w:type="paragraph" w:customStyle="1" w:styleId="ss-image-box">
    <w:name w:val="ss-image-box"/>
    <w:basedOn w:val="Normal"/>
    <w:pPr>
      <w:spacing w:after="150"/>
    </w:pPr>
  </w:style>
  <w:style w:type="paragraph" w:customStyle="1" w:styleId="ss-image-icon">
    <w:name w:val="ss-image-icon"/>
    <w:basedOn w:val="Normal"/>
    <w:pPr>
      <w:spacing w:after="150"/>
    </w:pPr>
  </w:style>
  <w:style w:type="paragraph" w:customStyle="1" w:styleId="ss-image-wrapper">
    <w:name w:val="ss-image-wrapper"/>
    <w:basedOn w:val="Normal"/>
    <w:pPr>
      <w:spacing w:after="150"/>
    </w:pPr>
  </w:style>
  <w:style w:type="paragraph" w:customStyle="1" w:styleId="ss-image-caption">
    <w:name w:val="ss-image-caption"/>
    <w:basedOn w:val="Normal"/>
    <w:pPr>
      <w:spacing w:after="150"/>
    </w:pPr>
  </w:style>
  <w:style w:type="paragraph" w:customStyle="1" w:styleId="ui-accordion-header-active">
    <w:name w:val="ui-accordion-header-active"/>
    <w:basedOn w:val="Normal"/>
    <w:pPr>
      <w:spacing w:after="150"/>
    </w:pPr>
  </w:style>
  <w:style w:type="paragraph" w:customStyle="1" w:styleId="ui-tabs-hide">
    <w:name w:val="ui-tabs-hide"/>
    <w:basedOn w:val="Normal"/>
    <w:pPr>
      <w:spacing w:after="150"/>
    </w:pPr>
  </w:style>
  <w:style w:type="paragraph" w:customStyle="1" w:styleId="small1">
    <w:name w:val="small1"/>
    <w:basedOn w:val="Normal"/>
    <w:pPr>
      <w:spacing w:after="150"/>
    </w:pPr>
    <w:rPr>
      <w:color w:val="999999"/>
      <w:sz w:val="16"/>
      <w:szCs w:val="16"/>
    </w:rPr>
  </w:style>
  <w:style w:type="paragraph" w:customStyle="1" w:styleId="small2">
    <w:name w:val="small2"/>
    <w:basedOn w:val="Normal"/>
    <w:pPr>
      <w:spacing w:after="150"/>
    </w:pPr>
    <w:rPr>
      <w:color w:val="999999"/>
      <w:sz w:val="16"/>
      <w:szCs w:val="16"/>
    </w:rPr>
  </w:style>
  <w:style w:type="paragraph" w:customStyle="1" w:styleId="small3">
    <w:name w:val="small3"/>
    <w:basedOn w:val="Normal"/>
    <w:pPr>
      <w:spacing w:after="150"/>
    </w:pPr>
    <w:rPr>
      <w:color w:val="999999"/>
      <w:sz w:val="16"/>
      <w:szCs w:val="16"/>
    </w:rPr>
  </w:style>
  <w:style w:type="paragraph" w:customStyle="1" w:styleId="small4">
    <w:name w:val="small4"/>
    <w:basedOn w:val="Normal"/>
    <w:pPr>
      <w:spacing w:after="150"/>
    </w:pPr>
    <w:rPr>
      <w:color w:val="999999"/>
      <w:sz w:val="18"/>
      <w:szCs w:val="18"/>
    </w:rPr>
  </w:style>
  <w:style w:type="paragraph" w:customStyle="1" w:styleId="small5">
    <w:name w:val="small5"/>
    <w:basedOn w:val="Normal"/>
    <w:pPr>
      <w:spacing w:after="150"/>
    </w:pPr>
    <w:rPr>
      <w:color w:val="999999"/>
      <w:sz w:val="18"/>
      <w:szCs w:val="18"/>
    </w:rPr>
  </w:style>
  <w:style w:type="paragraph" w:customStyle="1" w:styleId="small6">
    <w:name w:val="small6"/>
    <w:basedOn w:val="Normal"/>
    <w:pPr>
      <w:spacing w:after="150"/>
    </w:pPr>
    <w:rPr>
      <w:color w:val="999999"/>
      <w:sz w:val="18"/>
      <w:szCs w:val="18"/>
    </w:rPr>
  </w:style>
  <w:style w:type="paragraph" w:customStyle="1" w:styleId="small7">
    <w:name w:val="small7"/>
    <w:basedOn w:val="Normal"/>
    <w:pPr>
      <w:spacing w:after="150"/>
    </w:pPr>
    <w:rPr>
      <w:color w:val="999999"/>
      <w:sz w:val="16"/>
      <w:szCs w:val="16"/>
    </w:rPr>
  </w:style>
  <w:style w:type="paragraph" w:customStyle="1" w:styleId="small8">
    <w:name w:val="small8"/>
    <w:basedOn w:val="Normal"/>
    <w:pPr>
      <w:spacing w:after="150"/>
    </w:pPr>
    <w:rPr>
      <w:color w:val="999999"/>
      <w:sz w:val="16"/>
      <w:szCs w:val="16"/>
    </w:rPr>
  </w:style>
  <w:style w:type="paragraph" w:customStyle="1" w:styleId="small9">
    <w:name w:val="small9"/>
    <w:basedOn w:val="Normal"/>
    <w:pPr>
      <w:spacing w:after="150"/>
    </w:pPr>
    <w:rPr>
      <w:color w:val="999999"/>
      <w:sz w:val="16"/>
      <w:szCs w:val="16"/>
    </w:rPr>
  </w:style>
  <w:style w:type="paragraph" w:customStyle="1" w:styleId="small10">
    <w:name w:val="small10"/>
    <w:basedOn w:val="Normal"/>
    <w:pPr>
      <w:spacing w:after="150"/>
    </w:pPr>
    <w:rPr>
      <w:color w:val="999999"/>
      <w:sz w:val="18"/>
      <w:szCs w:val="18"/>
    </w:rPr>
  </w:style>
  <w:style w:type="paragraph" w:customStyle="1" w:styleId="small11">
    <w:name w:val="small11"/>
    <w:basedOn w:val="Normal"/>
    <w:pPr>
      <w:spacing w:after="150"/>
    </w:pPr>
    <w:rPr>
      <w:color w:val="999999"/>
      <w:sz w:val="18"/>
      <w:szCs w:val="18"/>
    </w:rPr>
  </w:style>
  <w:style w:type="paragraph" w:customStyle="1" w:styleId="small12">
    <w:name w:val="small12"/>
    <w:basedOn w:val="Normal"/>
    <w:pPr>
      <w:spacing w:after="150"/>
    </w:pPr>
    <w:rPr>
      <w:color w:val="999999"/>
      <w:sz w:val="18"/>
      <w:szCs w:val="18"/>
    </w:rPr>
  </w:style>
  <w:style w:type="paragraph" w:customStyle="1" w:styleId="table1">
    <w:name w:val="table1"/>
    <w:basedOn w:val="Normal"/>
    <w:pPr>
      <w:shd w:val="clear" w:color="auto" w:fill="FFFFFF"/>
      <w:spacing w:after="300"/>
    </w:pPr>
  </w:style>
  <w:style w:type="paragraph" w:customStyle="1" w:styleId="form-control1">
    <w:name w:val="form-control1"/>
    <w:basedOn w:val="Normal"/>
    <w:pPr>
      <w:pBdr>
        <w:top w:val="single" w:sz="6" w:space="5" w:color="CCCCCC"/>
        <w:left w:val="single" w:sz="6" w:space="9" w:color="CCCCCC"/>
        <w:bottom w:val="single" w:sz="6" w:space="5" w:color="CCCCCC"/>
        <w:right w:val="single" w:sz="6" w:space="9" w:color="CCCCCC"/>
      </w:pBdr>
      <w:shd w:val="clear" w:color="auto" w:fill="FFFFFF"/>
      <w:spacing w:after="150"/>
    </w:pPr>
    <w:rPr>
      <w:color w:val="555555"/>
      <w:sz w:val="21"/>
      <w:szCs w:val="21"/>
    </w:rPr>
  </w:style>
  <w:style w:type="paragraph" w:customStyle="1" w:styleId="form-control-feedback1">
    <w:name w:val="form-control-feedback1"/>
    <w:basedOn w:val="Normal"/>
    <w:pPr>
      <w:spacing w:after="150" w:line="510" w:lineRule="atLeast"/>
      <w:jc w:val="center"/>
    </w:pPr>
  </w:style>
  <w:style w:type="paragraph" w:customStyle="1" w:styleId="help-block1">
    <w:name w:val="help-block1"/>
    <w:basedOn w:val="Normal"/>
    <w:pPr>
      <w:spacing w:before="75" w:after="150"/>
    </w:pPr>
    <w:rPr>
      <w:color w:val="3C763D"/>
    </w:rPr>
  </w:style>
  <w:style w:type="paragraph" w:customStyle="1" w:styleId="control-label1">
    <w:name w:val="control-label1"/>
    <w:basedOn w:val="Normal"/>
    <w:pPr>
      <w:spacing w:after="150"/>
    </w:pPr>
    <w:rPr>
      <w:color w:val="3C763D"/>
    </w:rPr>
  </w:style>
  <w:style w:type="paragraph" w:customStyle="1" w:styleId="radio1">
    <w:name w:val="radio1"/>
    <w:basedOn w:val="Normal"/>
    <w:pPr>
      <w:spacing w:before="150" w:after="150"/>
    </w:pPr>
    <w:rPr>
      <w:color w:val="3C763D"/>
    </w:rPr>
  </w:style>
  <w:style w:type="paragraph" w:customStyle="1" w:styleId="checkbox1">
    <w:name w:val="checkbox1"/>
    <w:basedOn w:val="Normal"/>
    <w:pPr>
      <w:spacing w:before="150" w:after="150"/>
    </w:pPr>
    <w:rPr>
      <w:color w:val="3C763D"/>
    </w:rPr>
  </w:style>
  <w:style w:type="paragraph" w:customStyle="1" w:styleId="radio-inline1">
    <w:name w:val="radio-inline1"/>
    <w:basedOn w:val="Normal"/>
    <w:pPr>
      <w:textAlignment w:val="center"/>
    </w:pPr>
    <w:rPr>
      <w:color w:val="3C763D"/>
    </w:rPr>
  </w:style>
  <w:style w:type="paragraph" w:customStyle="1" w:styleId="checkbox-inline1">
    <w:name w:val="checkbox-inline1"/>
    <w:basedOn w:val="Normal"/>
    <w:pPr>
      <w:textAlignment w:val="center"/>
    </w:pPr>
    <w:rPr>
      <w:color w:val="3C763D"/>
    </w:rPr>
  </w:style>
  <w:style w:type="paragraph" w:customStyle="1" w:styleId="form-control2">
    <w:name w:val="form-control2"/>
    <w:basedOn w:val="Normal"/>
    <w:pPr>
      <w:pBdr>
        <w:top w:val="single" w:sz="6" w:space="5" w:color="3C763D"/>
        <w:left w:val="single" w:sz="6" w:space="9" w:color="3C763D"/>
        <w:bottom w:val="single" w:sz="6" w:space="5" w:color="3C763D"/>
        <w:right w:val="single" w:sz="6" w:space="9" w:color="3C763D"/>
      </w:pBdr>
      <w:shd w:val="clear" w:color="auto" w:fill="FFFFFF"/>
      <w:spacing w:after="150"/>
    </w:pPr>
    <w:rPr>
      <w:color w:val="555555"/>
      <w:sz w:val="21"/>
      <w:szCs w:val="21"/>
    </w:rPr>
  </w:style>
  <w:style w:type="paragraph" w:customStyle="1" w:styleId="input-group-addon1">
    <w:name w:val="input-group-addon1"/>
    <w:basedOn w:val="Normal"/>
    <w:pPr>
      <w:pBdr>
        <w:top w:val="single" w:sz="6" w:space="5" w:color="3C763D"/>
        <w:left w:val="single" w:sz="6" w:space="9" w:color="3C763D"/>
        <w:bottom w:val="single" w:sz="6" w:space="5" w:color="3C763D"/>
        <w:right w:val="single" w:sz="6" w:space="9" w:color="3C763D"/>
      </w:pBdr>
      <w:shd w:val="clear" w:color="auto" w:fill="DFF0D8"/>
      <w:spacing w:after="150"/>
      <w:jc w:val="center"/>
      <w:textAlignment w:val="center"/>
    </w:pPr>
    <w:rPr>
      <w:color w:val="3C763D"/>
      <w:sz w:val="21"/>
      <w:szCs w:val="21"/>
    </w:rPr>
  </w:style>
  <w:style w:type="paragraph" w:customStyle="1" w:styleId="form-control-feedback2">
    <w:name w:val="form-control-feedback2"/>
    <w:basedOn w:val="Normal"/>
    <w:pPr>
      <w:spacing w:after="150"/>
    </w:pPr>
    <w:rPr>
      <w:color w:val="3C763D"/>
    </w:rPr>
  </w:style>
  <w:style w:type="paragraph" w:customStyle="1" w:styleId="help-block2">
    <w:name w:val="help-block2"/>
    <w:basedOn w:val="Normal"/>
    <w:pPr>
      <w:spacing w:before="75" w:after="150"/>
    </w:pPr>
    <w:rPr>
      <w:color w:val="8A6D3B"/>
    </w:rPr>
  </w:style>
  <w:style w:type="paragraph" w:customStyle="1" w:styleId="control-label2">
    <w:name w:val="control-label2"/>
    <w:basedOn w:val="Normal"/>
    <w:pPr>
      <w:spacing w:after="150"/>
    </w:pPr>
    <w:rPr>
      <w:color w:val="8A6D3B"/>
    </w:rPr>
  </w:style>
  <w:style w:type="paragraph" w:customStyle="1" w:styleId="radio2">
    <w:name w:val="radio2"/>
    <w:basedOn w:val="Normal"/>
    <w:pPr>
      <w:spacing w:before="150" w:after="150"/>
    </w:pPr>
    <w:rPr>
      <w:color w:val="8A6D3B"/>
    </w:rPr>
  </w:style>
  <w:style w:type="paragraph" w:customStyle="1" w:styleId="checkbox2">
    <w:name w:val="checkbox2"/>
    <w:basedOn w:val="Normal"/>
    <w:pPr>
      <w:spacing w:before="150" w:after="150"/>
    </w:pPr>
    <w:rPr>
      <w:color w:val="8A6D3B"/>
    </w:rPr>
  </w:style>
  <w:style w:type="paragraph" w:customStyle="1" w:styleId="radio-inline2">
    <w:name w:val="radio-inline2"/>
    <w:basedOn w:val="Normal"/>
    <w:pPr>
      <w:textAlignment w:val="center"/>
    </w:pPr>
    <w:rPr>
      <w:color w:val="8A6D3B"/>
    </w:rPr>
  </w:style>
  <w:style w:type="paragraph" w:customStyle="1" w:styleId="checkbox-inline2">
    <w:name w:val="checkbox-inline2"/>
    <w:basedOn w:val="Normal"/>
    <w:pPr>
      <w:textAlignment w:val="center"/>
    </w:pPr>
    <w:rPr>
      <w:color w:val="8A6D3B"/>
    </w:rPr>
  </w:style>
  <w:style w:type="paragraph" w:customStyle="1" w:styleId="form-control3">
    <w:name w:val="form-control3"/>
    <w:basedOn w:val="Normal"/>
    <w:pPr>
      <w:pBdr>
        <w:top w:val="single" w:sz="6" w:space="5" w:color="8A6D3B"/>
        <w:left w:val="single" w:sz="6" w:space="9" w:color="8A6D3B"/>
        <w:bottom w:val="single" w:sz="6" w:space="5" w:color="8A6D3B"/>
        <w:right w:val="single" w:sz="6" w:space="9" w:color="8A6D3B"/>
      </w:pBdr>
      <w:shd w:val="clear" w:color="auto" w:fill="FFFFFF"/>
      <w:spacing w:after="150"/>
    </w:pPr>
    <w:rPr>
      <w:color w:val="555555"/>
      <w:sz w:val="21"/>
      <w:szCs w:val="21"/>
    </w:rPr>
  </w:style>
  <w:style w:type="paragraph" w:customStyle="1" w:styleId="input-group-addon2">
    <w:name w:val="input-group-addon2"/>
    <w:basedOn w:val="Normal"/>
    <w:pPr>
      <w:pBdr>
        <w:top w:val="single" w:sz="6" w:space="5" w:color="8A6D3B"/>
        <w:left w:val="single" w:sz="6" w:space="9" w:color="8A6D3B"/>
        <w:bottom w:val="single" w:sz="6" w:space="5" w:color="8A6D3B"/>
        <w:right w:val="single" w:sz="6" w:space="9" w:color="8A6D3B"/>
      </w:pBdr>
      <w:shd w:val="clear" w:color="auto" w:fill="FCF8E3"/>
      <w:spacing w:after="150"/>
      <w:jc w:val="center"/>
      <w:textAlignment w:val="center"/>
    </w:pPr>
    <w:rPr>
      <w:color w:val="8A6D3B"/>
      <w:sz w:val="21"/>
      <w:szCs w:val="21"/>
    </w:rPr>
  </w:style>
  <w:style w:type="paragraph" w:customStyle="1" w:styleId="form-control-feedback3">
    <w:name w:val="form-control-feedback3"/>
    <w:basedOn w:val="Normal"/>
    <w:pPr>
      <w:spacing w:after="150"/>
    </w:pPr>
    <w:rPr>
      <w:color w:val="8A6D3B"/>
    </w:rPr>
  </w:style>
  <w:style w:type="paragraph" w:customStyle="1" w:styleId="help-block3">
    <w:name w:val="help-block3"/>
    <w:basedOn w:val="Normal"/>
    <w:pPr>
      <w:spacing w:before="75" w:after="150"/>
    </w:pPr>
    <w:rPr>
      <w:color w:val="A94442"/>
    </w:rPr>
  </w:style>
  <w:style w:type="paragraph" w:customStyle="1" w:styleId="control-label3">
    <w:name w:val="control-label3"/>
    <w:basedOn w:val="Normal"/>
    <w:pPr>
      <w:spacing w:after="150"/>
    </w:pPr>
    <w:rPr>
      <w:color w:val="A94442"/>
    </w:rPr>
  </w:style>
  <w:style w:type="paragraph" w:customStyle="1" w:styleId="radio3">
    <w:name w:val="radio3"/>
    <w:basedOn w:val="Normal"/>
    <w:pPr>
      <w:spacing w:before="150" w:after="150"/>
    </w:pPr>
    <w:rPr>
      <w:color w:val="A94442"/>
    </w:rPr>
  </w:style>
  <w:style w:type="paragraph" w:customStyle="1" w:styleId="checkbox3">
    <w:name w:val="checkbox3"/>
    <w:basedOn w:val="Normal"/>
    <w:pPr>
      <w:spacing w:before="150" w:after="150"/>
    </w:pPr>
    <w:rPr>
      <w:color w:val="A94442"/>
    </w:rPr>
  </w:style>
  <w:style w:type="paragraph" w:customStyle="1" w:styleId="radio-inline3">
    <w:name w:val="radio-inline3"/>
    <w:basedOn w:val="Normal"/>
    <w:pPr>
      <w:textAlignment w:val="center"/>
    </w:pPr>
    <w:rPr>
      <w:color w:val="A94442"/>
    </w:rPr>
  </w:style>
  <w:style w:type="paragraph" w:customStyle="1" w:styleId="checkbox-inline3">
    <w:name w:val="checkbox-inline3"/>
    <w:basedOn w:val="Normal"/>
    <w:pPr>
      <w:textAlignment w:val="center"/>
    </w:pPr>
    <w:rPr>
      <w:color w:val="A94442"/>
    </w:rPr>
  </w:style>
  <w:style w:type="paragraph" w:customStyle="1" w:styleId="form-control4">
    <w:name w:val="form-control4"/>
    <w:basedOn w:val="Normal"/>
    <w:pPr>
      <w:pBdr>
        <w:top w:val="single" w:sz="6" w:space="5" w:color="A94442"/>
        <w:left w:val="single" w:sz="6" w:space="9" w:color="A94442"/>
        <w:bottom w:val="single" w:sz="6" w:space="5" w:color="A94442"/>
        <w:right w:val="single" w:sz="6" w:space="9" w:color="A94442"/>
      </w:pBdr>
      <w:shd w:val="clear" w:color="auto" w:fill="FFFFFF"/>
      <w:spacing w:after="150"/>
    </w:pPr>
    <w:rPr>
      <w:color w:val="555555"/>
      <w:sz w:val="21"/>
      <w:szCs w:val="21"/>
    </w:rPr>
  </w:style>
  <w:style w:type="paragraph" w:customStyle="1" w:styleId="input-group-addon3">
    <w:name w:val="input-group-addon3"/>
    <w:basedOn w:val="Normal"/>
    <w:pPr>
      <w:pBdr>
        <w:top w:val="single" w:sz="6" w:space="5" w:color="A94442"/>
        <w:left w:val="single" w:sz="6" w:space="9" w:color="A94442"/>
        <w:bottom w:val="single" w:sz="6" w:space="5" w:color="A94442"/>
        <w:right w:val="single" w:sz="6" w:space="9" w:color="A94442"/>
      </w:pBdr>
      <w:shd w:val="clear" w:color="auto" w:fill="F2DEDE"/>
      <w:spacing w:after="150"/>
      <w:jc w:val="center"/>
      <w:textAlignment w:val="center"/>
    </w:pPr>
    <w:rPr>
      <w:color w:val="A94442"/>
      <w:sz w:val="21"/>
      <w:szCs w:val="21"/>
    </w:rPr>
  </w:style>
  <w:style w:type="paragraph" w:customStyle="1" w:styleId="form-control-feedback4">
    <w:name w:val="form-control-feedback4"/>
    <w:basedOn w:val="Normal"/>
    <w:pPr>
      <w:spacing w:after="150"/>
    </w:pPr>
    <w:rPr>
      <w:color w:val="A94442"/>
    </w:rPr>
  </w:style>
  <w:style w:type="paragraph" w:customStyle="1" w:styleId="control-label4">
    <w:name w:val="control-label4"/>
    <w:basedOn w:val="Normal"/>
  </w:style>
  <w:style w:type="paragraph" w:customStyle="1" w:styleId="radio4">
    <w:name w:val="radio4"/>
    <w:basedOn w:val="Normal"/>
  </w:style>
  <w:style w:type="paragraph" w:customStyle="1" w:styleId="checkbox4">
    <w:name w:val="checkbox4"/>
    <w:basedOn w:val="Normal"/>
  </w:style>
  <w:style w:type="paragraph" w:customStyle="1" w:styleId="radio-inline4">
    <w:name w:val="radio-inline4"/>
    <w:basedOn w:val="Normal"/>
    <w:pPr>
      <w:textAlignment w:val="center"/>
    </w:pPr>
  </w:style>
  <w:style w:type="paragraph" w:customStyle="1" w:styleId="checkbox-inline4">
    <w:name w:val="checkbox-inline4"/>
    <w:basedOn w:val="Normal"/>
    <w:pPr>
      <w:textAlignment w:val="center"/>
    </w:pPr>
  </w:style>
  <w:style w:type="paragraph" w:customStyle="1" w:styleId="form-group1">
    <w:name w:val="form-group1"/>
    <w:basedOn w:val="Normal"/>
    <w:pPr>
      <w:spacing w:after="225"/>
      <w:ind w:left="-225" w:right="-225"/>
    </w:pPr>
  </w:style>
  <w:style w:type="paragraph" w:customStyle="1" w:styleId="form-control-static1">
    <w:name w:val="form-control-static1"/>
    <w:basedOn w:val="Normal"/>
  </w:style>
  <w:style w:type="paragraph" w:customStyle="1" w:styleId="badge1">
    <w:name w:val="badge1"/>
    <w:basedOn w:val="Normal"/>
    <w:pPr>
      <w:shd w:val="clear" w:color="auto" w:fill="333333"/>
      <w:spacing w:after="150"/>
      <w:jc w:val="center"/>
    </w:pPr>
    <w:rPr>
      <w:b/>
      <w:bCs/>
      <w:color w:val="FFFFFF"/>
      <w:sz w:val="18"/>
      <w:szCs w:val="18"/>
    </w:rPr>
  </w:style>
  <w:style w:type="paragraph" w:customStyle="1" w:styleId="badge2">
    <w:name w:val="badge2"/>
    <w:basedOn w:val="Normal"/>
    <w:pPr>
      <w:shd w:val="clear" w:color="auto" w:fill="FFFFFF"/>
      <w:spacing w:after="150"/>
      <w:jc w:val="center"/>
    </w:pPr>
    <w:rPr>
      <w:b/>
      <w:bCs/>
      <w:color w:val="428BCA"/>
      <w:sz w:val="18"/>
      <w:szCs w:val="18"/>
    </w:rPr>
  </w:style>
  <w:style w:type="paragraph" w:customStyle="1" w:styleId="badge3">
    <w:name w:val="badge3"/>
    <w:basedOn w:val="Normal"/>
    <w:pPr>
      <w:shd w:val="clear" w:color="auto" w:fill="FFFFFF"/>
      <w:spacing w:after="150"/>
      <w:jc w:val="center"/>
    </w:pPr>
    <w:rPr>
      <w:b/>
      <w:bCs/>
      <w:color w:val="5CB85C"/>
      <w:sz w:val="18"/>
      <w:szCs w:val="18"/>
    </w:rPr>
  </w:style>
  <w:style w:type="paragraph" w:customStyle="1" w:styleId="badge4">
    <w:name w:val="badge4"/>
    <w:basedOn w:val="Normal"/>
    <w:pPr>
      <w:shd w:val="clear" w:color="auto" w:fill="FFFFFF"/>
      <w:spacing w:after="150"/>
      <w:jc w:val="center"/>
    </w:pPr>
    <w:rPr>
      <w:b/>
      <w:bCs/>
      <w:color w:val="5BC0DE"/>
      <w:sz w:val="18"/>
      <w:szCs w:val="18"/>
    </w:rPr>
  </w:style>
  <w:style w:type="paragraph" w:customStyle="1" w:styleId="badge5">
    <w:name w:val="badge5"/>
    <w:basedOn w:val="Normal"/>
    <w:pPr>
      <w:shd w:val="clear" w:color="auto" w:fill="FFFFFF"/>
      <w:spacing w:after="150"/>
      <w:jc w:val="center"/>
    </w:pPr>
    <w:rPr>
      <w:b/>
      <w:bCs/>
      <w:color w:val="F0AD4E"/>
      <w:sz w:val="18"/>
      <w:szCs w:val="18"/>
    </w:rPr>
  </w:style>
  <w:style w:type="paragraph" w:customStyle="1" w:styleId="badge6">
    <w:name w:val="badge6"/>
    <w:basedOn w:val="Normal"/>
    <w:pPr>
      <w:shd w:val="clear" w:color="auto" w:fill="FFFFFF"/>
      <w:spacing w:after="150"/>
      <w:jc w:val="center"/>
    </w:pPr>
    <w:rPr>
      <w:b/>
      <w:bCs/>
      <w:color w:val="D9534F"/>
      <w:sz w:val="18"/>
      <w:szCs w:val="18"/>
    </w:rPr>
  </w:style>
  <w:style w:type="paragraph" w:customStyle="1" w:styleId="divider1">
    <w:name w:val="divider1"/>
    <w:basedOn w:val="Normal"/>
    <w:pPr>
      <w:shd w:val="clear" w:color="auto" w:fill="E5E5E5"/>
      <w:spacing w:before="135" w:after="135"/>
    </w:pPr>
  </w:style>
  <w:style w:type="paragraph" w:customStyle="1" w:styleId="caret1">
    <w:name w:val="caret1"/>
    <w:basedOn w:val="Normal"/>
    <w:pPr>
      <w:spacing w:after="150"/>
      <w:ind w:left="30"/>
      <w:textAlignment w:val="center"/>
    </w:pPr>
  </w:style>
  <w:style w:type="paragraph" w:customStyle="1" w:styleId="caret2">
    <w:name w:val="caret2"/>
    <w:basedOn w:val="Normal"/>
    <w:pPr>
      <w:spacing w:after="150"/>
      <w:ind w:left="30"/>
      <w:textAlignment w:val="center"/>
    </w:pPr>
  </w:style>
  <w:style w:type="paragraph" w:customStyle="1" w:styleId="dropdown-menu1">
    <w:name w:val="dropdown-menu1"/>
    <w:basedOn w:val="Normal"/>
    <w:pPr>
      <w:pBdr>
        <w:top w:val="single" w:sz="6" w:space="4" w:color="CCCCCC"/>
        <w:left w:val="single" w:sz="6" w:space="0" w:color="CCCCCC"/>
        <w:bottom w:val="single" w:sz="6" w:space="4" w:color="CCCCCC"/>
        <w:right w:val="single" w:sz="6" w:space="0" w:color="CCCCCC"/>
      </w:pBdr>
      <w:shd w:val="clear" w:color="auto" w:fill="FFFFFF"/>
      <w:spacing w:before="30" w:after="15"/>
    </w:pPr>
    <w:rPr>
      <w:vanish/>
      <w:sz w:val="21"/>
      <w:szCs w:val="21"/>
    </w:rPr>
  </w:style>
  <w:style w:type="paragraph" w:customStyle="1" w:styleId="dropdown-menu2">
    <w:name w:val="dropdown-menu2"/>
    <w:basedOn w:val="Normal"/>
    <w:pPr>
      <w:pBdr>
        <w:top w:val="single" w:sz="6" w:space="4" w:color="CCCCCC"/>
        <w:left w:val="single" w:sz="6" w:space="0" w:color="CCCCCC"/>
        <w:bottom w:val="single" w:sz="6" w:space="4" w:color="CCCCCC"/>
        <w:right w:val="single" w:sz="6" w:space="0" w:color="CCCCCC"/>
      </w:pBdr>
      <w:shd w:val="clear" w:color="auto" w:fill="FFFFFF"/>
      <w:spacing w:before="30" w:after="15"/>
    </w:pPr>
    <w:rPr>
      <w:vanish/>
      <w:sz w:val="21"/>
      <w:szCs w:val="21"/>
    </w:rPr>
  </w:style>
  <w:style w:type="paragraph" w:customStyle="1" w:styleId="caret3">
    <w:name w:val="caret3"/>
    <w:basedOn w:val="Normal"/>
    <w:pPr>
      <w:pBdr>
        <w:top w:val="single" w:sz="24" w:space="0" w:color="000000"/>
        <w:left w:val="single" w:sz="24" w:space="0" w:color="000000"/>
        <w:bottom w:val="single" w:sz="24" w:space="0" w:color="000000"/>
        <w:right w:val="single" w:sz="24" w:space="0" w:color="000000"/>
      </w:pBdr>
      <w:spacing w:after="150"/>
      <w:textAlignment w:val="center"/>
    </w:pPr>
  </w:style>
  <w:style w:type="paragraph" w:customStyle="1" w:styleId="caret4">
    <w:name w:val="caret4"/>
    <w:basedOn w:val="Normal"/>
    <w:pPr>
      <w:pBdr>
        <w:top w:val="single" w:sz="36" w:space="0" w:color="000000"/>
        <w:left w:val="single" w:sz="36" w:space="0" w:color="000000"/>
        <w:bottom w:val="single" w:sz="36" w:space="0" w:color="000000"/>
        <w:right w:val="single" w:sz="36" w:space="0" w:color="000000"/>
      </w:pBdr>
      <w:spacing w:after="150"/>
      <w:ind w:left="30"/>
      <w:textAlignment w:val="center"/>
    </w:pPr>
  </w:style>
  <w:style w:type="paragraph" w:customStyle="1" w:styleId="caret5">
    <w:name w:val="caret5"/>
    <w:basedOn w:val="Normal"/>
    <w:pPr>
      <w:spacing w:after="150"/>
      <w:ind w:left="30"/>
      <w:textAlignment w:val="center"/>
    </w:pPr>
  </w:style>
  <w:style w:type="paragraph" w:customStyle="1" w:styleId="form-control5">
    <w:name w:val="form-control5"/>
    <w:basedOn w:val="Normal"/>
    <w:pPr>
      <w:pBdr>
        <w:top w:val="single" w:sz="6" w:space="5" w:color="CCCCCC"/>
        <w:left w:val="single" w:sz="6" w:space="9" w:color="CCCCCC"/>
        <w:bottom w:val="single" w:sz="6" w:space="5" w:color="CCCCCC"/>
        <w:right w:val="single" w:sz="6" w:space="9" w:color="CCCCCC"/>
      </w:pBdr>
      <w:shd w:val="clear" w:color="auto" w:fill="FFFFFF"/>
    </w:pPr>
    <w:rPr>
      <w:color w:val="555555"/>
      <w:sz w:val="21"/>
      <w:szCs w:val="21"/>
    </w:rPr>
  </w:style>
  <w:style w:type="paragraph" w:customStyle="1" w:styleId="nav-divider1">
    <w:name w:val="nav-divider1"/>
    <w:basedOn w:val="Normal"/>
    <w:pPr>
      <w:shd w:val="clear" w:color="auto" w:fill="E5E5E5"/>
      <w:spacing w:before="135" w:after="135"/>
    </w:pPr>
  </w:style>
  <w:style w:type="paragraph" w:customStyle="1" w:styleId="dropdown-menu3">
    <w:name w:val="dropdown-menu3"/>
    <w:basedOn w:val="Normal"/>
    <w:pPr>
      <w:pBdr>
        <w:top w:val="single" w:sz="6" w:space="4" w:color="CCCCCC"/>
        <w:left w:val="single" w:sz="6" w:space="0" w:color="CCCCCC"/>
        <w:bottom w:val="single" w:sz="6" w:space="4" w:color="CCCCCC"/>
        <w:right w:val="single" w:sz="6" w:space="0" w:color="CCCCCC"/>
      </w:pBdr>
      <w:shd w:val="clear" w:color="auto" w:fill="FFFFFF"/>
    </w:pPr>
    <w:rPr>
      <w:vanish/>
      <w:sz w:val="21"/>
      <w:szCs w:val="21"/>
    </w:rPr>
  </w:style>
  <w:style w:type="paragraph" w:customStyle="1" w:styleId="icon-bar1">
    <w:name w:val="icon-bar1"/>
    <w:basedOn w:val="Normal"/>
    <w:pPr>
      <w:spacing w:after="150"/>
    </w:pPr>
  </w:style>
  <w:style w:type="paragraph" w:customStyle="1" w:styleId="navbar-brand1">
    <w:name w:val="navbar-brand1"/>
    <w:basedOn w:val="Normal"/>
    <w:pPr>
      <w:spacing w:after="150" w:line="300" w:lineRule="atLeast"/>
    </w:pPr>
    <w:rPr>
      <w:color w:val="777777"/>
      <w:sz w:val="27"/>
      <w:szCs w:val="27"/>
    </w:rPr>
  </w:style>
  <w:style w:type="paragraph" w:customStyle="1" w:styleId="navbar-text1">
    <w:name w:val="navbar-text1"/>
    <w:basedOn w:val="Normal"/>
    <w:pPr>
      <w:spacing w:before="225" w:after="225"/>
    </w:pPr>
    <w:rPr>
      <w:color w:val="777777"/>
    </w:rPr>
  </w:style>
  <w:style w:type="paragraph" w:customStyle="1" w:styleId="navbar-navlia1">
    <w:name w:val="navbar-nav&gt;li&gt;a1"/>
    <w:basedOn w:val="Normal"/>
    <w:pPr>
      <w:spacing w:after="150" w:line="300" w:lineRule="atLeast"/>
    </w:pPr>
    <w:rPr>
      <w:color w:val="777777"/>
    </w:rPr>
  </w:style>
  <w:style w:type="paragraph" w:customStyle="1" w:styleId="navbar-toggle1">
    <w:name w:val="navbar-toggle1"/>
    <w:basedOn w:val="Normal"/>
    <w:pPr>
      <w:spacing w:before="120" w:after="120"/>
      <w:ind w:right="225"/>
    </w:pPr>
  </w:style>
  <w:style w:type="paragraph" w:customStyle="1" w:styleId="icon-bar2">
    <w:name w:val="icon-bar2"/>
    <w:basedOn w:val="Normal"/>
    <w:pPr>
      <w:shd w:val="clear" w:color="auto" w:fill="888888"/>
      <w:spacing w:after="150"/>
    </w:pPr>
  </w:style>
  <w:style w:type="paragraph" w:customStyle="1" w:styleId="navbar-collapse1">
    <w:name w:val="navbar-collapse1"/>
    <w:basedOn w:val="Normal"/>
    <w:pPr>
      <w:spacing w:after="150"/>
    </w:pPr>
  </w:style>
  <w:style w:type="paragraph" w:customStyle="1" w:styleId="navbar-form1">
    <w:name w:val="navbar-form1"/>
    <w:basedOn w:val="Normal"/>
    <w:pPr>
      <w:spacing w:before="120" w:after="120"/>
      <w:ind w:left="-225" w:right="-225"/>
    </w:pPr>
  </w:style>
  <w:style w:type="paragraph" w:customStyle="1" w:styleId="navbar-link1">
    <w:name w:val="navbar-link1"/>
    <w:basedOn w:val="Normal"/>
    <w:pPr>
      <w:spacing w:after="150"/>
    </w:pPr>
    <w:rPr>
      <w:color w:val="777777"/>
    </w:rPr>
  </w:style>
  <w:style w:type="paragraph" w:customStyle="1" w:styleId="navbar-link2">
    <w:name w:val="navbar-link2"/>
    <w:basedOn w:val="Normal"/>
    <w:pPr>
      <w:spacing w:after="150"/>
    </w:pPr>
    <w:rPr>
      <w:color w:val="333333"/>
    </w:rPr>
  </w:style>
  <w:style w:type="paragraph" w:customStyle="1" w:styleId="navbar-brand2">
    <w:name w:val="navbar-brand2"/>
    <w:basedOn w:val="Normal"/>
    <w:pPr>
      <w:spacing w:after="150" w:line="300" w:lineRule="atLeast"/>
    </w:pPr>
    <w:rPr>
      <w:color w:val="999999"/>
      <w:sz w:val="27"/>
      <w:szCs w:val="27"/>
    </w:rPr>
  </w:style>
  <w:style w:type="paragraph" w:customStyle="1" w:styleId="navbar-text2">
    <w:name w:val="navbar-text2"/>
    <w:basedOn w:val="Normal"/>
    <w:pPr>
      <w:spacing w:before="225" w:after="225"/>
    </w:pPr>
    <w:rPr>
      <w:color w:val="999999"/>
    </w:rPr>
  </w:style>
  <w:style w:type="paragraph" w:customStyle="1" w:styleId="navbar-navlia2">
    <w:name w:val="navbar-nav&gt;li&gt;a2"/>
    <w:basedOn w:val="Normal"/>
    <w:pPr>
      <w:spacing w:after="150" w:line="300" w:lineRule="atLeast"/>
    </w:pPr>
    <w:rPr>
      <w:color w:val="999999"/>
    </w:rPr>
  </w:style>
  <w:style w:type="paragraph" w:customStyle="1" w:styleId="navbar-toggle2">
    <w:name w:val="navbar-toggle2"/>
    <w:basedOn w:val="Normal"/>
    <w:pPr>
      <w:spacing w:before="120" w:after="120"/>
      <w:ind w:right="225"/>
    </w:pPr>
  </w:style>
  <w:style w:type="paragraph" w:customStyle="1" w:styleId="icon-bar3">
    <w:name w:val="icon-bar3"/>
    <w:basedOn w:val="Normal"/>
    <w:pPr>
      <w:shd w:val="clear" w:color="auto" w:fill="FFFFFF"/>
      <w:spacing w:after="150"/>
    </w:pPr>
  </w:style>
  <w:style w:type="paragraph" w:customStyle="1" w:styleId="navbar-collapse2">
    <w:name w:val="navbar-collapse2"/>
    <w:basedOn w:val="Normal"/>
    <w:pPr>
      <w:spacing w:after="150"/>
    </w:pPr>
  </w:style>
  <w:style w:type="paragraph" w:customStyle="1" w:styleId="navbar-form2">
    <w:name w:val="navbar-form2"/>
    <w:basedOn w:val="Normal"/>
    <w:pPr>
      <w:spacing w:before="120" w:after="120"/>
      <w:ind w:left="-225" w:right="-225"/>
    </w:pPr>
  </w:style>
  <w:style w:type="paragraph" w:customStyle="1" w:styleId="navbar-link3">
    <w:name w:val="navbar-link3"/>
    <w:basedOn w:val="Normal"/>
    <w:pPr>
      <w:spacing w:after="150"/>
    </w:pPr>
    <w:rPr>
      <w:color w:val="999999"/>
    </w:rPr>
  </w:style>
  <w:style w:type="paragraph" w:customStyle="1" w:styleId="navbar-link4">
    <w:name w:val="navbar-link4"/>
    <w:basedOn w:val="Normal"/>
    <w:pPr>
      <w:spacing w:after="150"/>
    </w:pPr>
    <w:rPr>
      <w:color w:val="FFFFFF"/>
    </w:rPr>
  </w:style>
  <w:style w:type="paragraph" w:customStyle="1" w:styleId="badge7">
    <w:name w:val="badge7"/>
    <w:basedOn w:val="Normal"/>
    <w:pPr>
      <w:shd w:val="clear" w:color="auto" w:fill="999999"/>
      <w:spacing w:after="150"/>
      <w:jc w:val="center"/>
    </w:pPr>
    <w:rPr>
      <w:b/>
      <w:bCs/>
      <w:color w:val="FFFFFF"/>
      <w:sz w:val="18"/>
      <w:szCs w:val="18"/>
    </w:rPr>
  </w:style>
  <w:style w:type="paragraph" w:customStyle="1" w:styleId="caption1">
    <w:name w:val="caption1"/>
    <w:basedOn w:val="Normal"/>
    <w:pPr>
      <w:spacing w:after="150"/>
    </w:pPr>
    <w:rPr>
      <w:color w:val="333333"/>
    </w:rPr>
  </w:style>
  <w:style w:type="paragraph" w:customStyle="1" w:styleId="alert-link1">
    <w:name w:val="alert-link1"/>
    <w:basedOn w:val="Normal"/>
    <w:pPr>
      <w:spacing w:after="150"/>
    </w:pPr>
    <w:rPr>
      <w:b/>
      <w:bCs/>
    </w:rPr>
  </w:style>
  <w:style w:type="paragraph" w:customStyle="1" w:styleId="alert-link2">
    <w:name w:val="alert-link2"/>
    <w:basedOn w:val="Normal"/>
    <w:pPr>
      <w:spacing w:after="150"/>
    </w:pPr>
    <w:rPr>
      <w:color w:val="2B542C"/>
    </w:rPr>
  </w:style>
  <w:style w:type="paragraph" w:customStyle="1" w:styleId="alert-link3">
    <w:name w:val="alert-link3"/>
    <w:basedOn w:val="Normal"/>
    <w:pPr>
      <w:spacing w:after="150"/>
    </w:pPr>
    <w:rPr>
      <w:color w:val="245269"/>
    </w:rPr>
  </w:style>
  <w:style w:type="paragraph" w:customStyle="1" w:styleId="alert-link4">
    <w:name w:val="alert-link4"/>
    <w:basedOn w:val="Normal"/>
    <w:pPr>
      <w:spacing w:after="150"/>
    </w:pPr>
    <w:rPr>
      <w:color w:val="66512C"/>
    </w:rPr>
  </w:style>
  <w:style w:type="paragraph" w:customStyle="1" w:styleId="alert-link5">
    <w:name w:val="alert-link5"/>
    <w:basedOn w:val="Normal"/>
    <w:pPr>
      <w:spacing w:after="150"/>
    </w:pPr>
    <w:rPr>
      <w:color w:val="843534"/>
    </w:rPr>
  </w:style>
  <w:style w:type="paragraph" w:customStyle="1" w:styleId="media1">
    <w:name w:val="media1"/>
    <w:basedOn w:val="Normal"/>
    <w:pPr>
      <w:spacing w:before="225" w:after="150"/>
    </w:pPr>
  </w:style>
  <w:style w:type="paragraph" w:customStyle="1" w:styleId="list-group-item-heading1">
    <w:name w:val="list-group-item-heading1"/>
    <w:basedOn w:val="Normal"/>
    <w:pPr>
      <w:spacing w:after="75"/>
    </w:pPr>
    <w:rPr>
      <w:color w:val="333333"/>
    </w:rPr>
  </w:style>
  <w:style w:type="paragraph" w:customStyle="1" w:styleId="panel1">
    <w:name w:val="panel1"/>
    <w:basedOn w:val="Normal"/>
    <w:pPr>
      <w:shd w:val="clear" w:color="auto" w:fill="FFFFFF"/>
    </w:pPr>
  </w:style>
  <w:style w:type="paragraph" w:customStyle="1" w:styleId="panel-heading1">
    <w:name w:val="panel-heading1"/>
    <w:basedOn w:val="Normal"/>
    <w:pPr>
      <w:spacing w:after="150"/>
    </w:pPr>
  </w:style>
  <w:style w:type="paragraph" w:customStyle="1" w:styleId="panel-footer1">
    <w:name w:val="panel-footer1"/>
    <w:basedOn w:val="Normal"/>
    <w:pPr>
      <w:shd w:val="clear" w:color="auto" w:fill="F5F5F5"/>
      <w:spacing w:after="150"/>
    </w:pPr>
  </w:style>
  <w:style w:type="paragraph" w:customStyle="1" w:styleId="close1">
    <w:name w:val="close1"/>
    <w:basedOn w:val="Normal"/>
    <w:pPr>
      <w:spacing w:after="150"/>
    </w:pPr>
    <w:rPr>
      <w:b/>
      <w:bCs/>
      <w:color w:val="000000"/>
      <w:sz w:val="32"/>
      <w:szCs w:val="32"/>
    </w:rPr>
  </w:style>
  <w:style w:type="paragraph" w:customStyle="1" w:styleId="icon-prev1">
    <w:name w:val="icon-prev1"/>
    <w:basedOn w:val="Normal"/>
    <w:pPr>
      <w:spacing w:after="150"/>
      <w:ind w:left="-150"/>
    </w:pPr>
  </w:style>
  <w:style w:type="paragraph" w:customStyle="1" w:styleId="icon-next1">
    <w:name w:val="icon-next1"/>
    <w:basedOn w:val="Normal"/>
    <w:pPr>
      <w:spacing w:after="150"/>
      <w:ind w:left="-150"/>
    </w:pPr>
  </w:style>
  <w:style w:type="paragraph" w:customStyle="1" w:styleId="active1">
    <w:name w:val="active1"/>
    <w:basedOn w:val="Normal"/>
    <w:pPr>
      <w:shd w:val="clear" w:color="auto" w:fill="FFFFFF"/>
    </w:pPr>
  </w:style>
  <w:style w:type="paragraph" w:customStyle="1" w:styleId="btn1">
    <w:name w:val="btn1"/>
    <w:basedOn w:val="Normal"/>
    <w:pPr>
      <w:jc w:val="center"/>
      <w:textAlignment w:val="center"/>
    </w:pPr>
    <w:rPr>
      <w:sz w:val="21"/>
      <w:szCs w:val="21"/>
    </w:rPr>
  </w:style>
  <w:style w:type="paragraph" w:customStyle="1" w:styleId="ss-home-title1">
    <w:name w:val="ss-home-title1"/>
    <w:basedOn w:val="Normal"/>
    <w:pPr>
      <w:pBdr>
        <w:top w:val="single" w:sz="6" w:space="4" w:color="E7E7E7"/>
        <w:bottom w:val="single" w:sz="6" w:space="4" w:color="C0C0C0"/>
      </w:pBdr>
      <w:shd w:val="clear" w:color="auto" w:fill="008B06"/>
      <w:spacing w:after="150"/>
    </w:pPr>
    <w:rPr>
      <w:b/>
      <w:bCs/>
      <w:color w:val="FFFFFF"/>
      <w:sz w:val="21"/>
      <w:szCs w:val="21"/>
    </w:rPr>
  </w:style>
  <w:style w:type="paragraph" w:customStyle="1" w:styleId="ss-list-holder1">
    <w:name w:val="ss-list-holder1"/>
    <w:basedOn w:val="Normal"/>
    <w:pPr>
      <w:spacing w:after="375"/>
    </w:pPr>
  </w:style>
  <w:style w:type="paragraph" w:customStyle="1" w:styleId="ss-home-title2">
    <w:name w:val="ss-home-title2"/>
    <w:basedOn w:val="Normal"/>
    <w:pPr>
      <w:pBdr>
        <w:top w:val="single" w:sz="6" w:space="4" w:color="E7E7E7"/>
        <w:bottom w:val="single" w:sz="6" w:space="4" w:color="C0C0C0"/>
      </w:pBdr>
      <w:shd w:val="clear" w:color="auto" w:fill="919191"/>
      <w:spacing w:after="150"/>
    </w:pPr>
    <w:rPr>
      <w:b/>
      <w:bCs/>
      <w:color w:val="FFFFFF"/>
      <w:sz w:val="21"/>
      <w:szCs w:val="21"/>
    </w:rPr>
  </w:style>
  <w:style w:type="paragraph" w:customStyle="1" w:styleId="ss-home-title3">
    <w:name w:val="ss-home-title3"/>
    <w:basedOn w:val="Normal"/>
    <w:pPr>
      <w:pBdr>
        <w:top w:val="single" w:sz="6" w:space="4" w:color="E7E7E7"/>
        <w:bottom w:val="single" w:sz="6" w:space="4" w:color="C0C0C0"/>
      </w:pBdr>
      <w:shd w:val="clear" w:color="auto" w:fill="ADADAD"/>
      <w:spacing w:after="150"/>
    </w:pPr>
    <w:rPr>
      <w:b/>
      <w:bCs/>
      <w:color w:val="FFFFFF"/>
      <w:sz w:val="21"/>
      <w:szCs w:val="21"/>
    </w:rPr>
  </w:style>
  <w:style w:type="paragraph" w:customStyle="1" w:styleId="pass1">
    <w:name w:val="pass1"/>
    <w:basedOn w:val="Normal"/>
    <w:pPr>
      <w:spacing w:after="150"/>
    </w:pPr>
  </w:style>
  <w:style w:type="paragraph" w:customStyle="1" w:styleId="btn2">
    <w:name w:val="btn2"/>
    <w:basedOn w:val="Normal"/>
    <w:pPr>
      <w:shd w:val="clear" w:color="auto" w:fill="5BAB22"/>
      <w:spacing w:before="300"/>
      <w:jc w:val="center"/>
      <w:textAlignment w:val="center"/>
    </w:pPr>
    <w:rPr>
      <w:color w:val="FFFFFF"/>
      <w:sz w:val="21"/>
      <w:szCs w:val="21"/>
    </w:rPr>
  </w:style>
  <w:style w:type="paragraph" w:customStyle="1" w:styleId="error1">
    <w:name w:val="error1"/>
    <w:basedOn w:val="Normal"/>
    <w:pPr>
      <w:spacing w:after="150"/>
    </w:pPr>
    <w:rPr>
      <w:color w:val="FF0000"/>
      <w:sz w:val="18"/>
      <w:szCs w:val="18"/>
    </w:rPr>
  </w:style>
  <w:style w:type="paragraph" w:customStyle="1" w:styleId="s111">
    <w:name w:val="s111"/>
    <w:basedOn w:val="Normal"/>
    <w:pPr>
      <w:spacing w:after="150"/>
    </w:pPr>
    <w:rPr>
      <w:sz w:val="17"/>
      <w:szCs w:val="17"/>
    </w:rPr>
  </w:style>
  <w:style w:type="paragraph" w:customStyle="1" w:styleId="zebradialogtitle1">
    <w:name w:val="zebradialog_title1"/>
    <w:basedOn w:val="Normal"/>
    <w:pPr>
      <w:shd w:val="clear" w:color="auto" w:fill="222222"/>
    </w:pPr>
    <w:rPr>
      <w:b/>
      <w:bCs/>
      <w:color w:val="FFFFFF"/>
      <w:sz w:val="21"/>
      <w:szCs w:val="21"/>
    </w:rPr>
  </w:style>
  <w:style w:type="paragraph" w:customStyle="1" w:styleId="zebradialogbody1">
    <w:name w:val="zebradialog_body1"/>
    <w:basedOn w:val="Normal"/>
    <w:pPr>
      <w:spacing w:after="150"/>
    </w:pPr>
  </w:style>
  <w:style w:type="paragraph" w:customStyle="1" w:styleId="zebradialogicon1">
    <w:name w:val="zebradialog_icon1"/>
    <w:basedOn w:val="Normal"/>
    <w:pPr>
      <w:spacing w:after="150"/>
    </w:pPr>
  </w:style>
  <w:style w:type="paragraph" w:customStyle="1" w:styleId="zebradialogconfirmation1">
    <w:name w:val="zebradialog_confirmation1"/>
    <w:basedOn w:val="Normal"/>
    <w:pPr>
      <w:spacing w:after="150"/>
    </w:pPr>
  </w:style>
  <w:style w:type="paragraph" w:customStyle="1" w:styleId="zebradialogerror1">
    <w:name w:val="zebradialog_error1"/>
    <w:basedOn w:val="Normal"/>
    <w:pPr>
      <w:spacing w:after="150"/>
    </w:pPr>
  </w:style>
  <w:style w:type="paragraph" w:customStyle="1" w:styleId="zebradialoginformation1">
    <w:name w:val="zebradialog_information1"/>
    <w:basedOn w:val="Normal"/>
    <w:pPr>
      <w:spacing w:after="150"/>
    </w:pPr>
  </w:style>
  <w:style w:type="paragraph" w:customStyle="1" w:styleId="zebradialogquestion1">
    <w:name w:val="zebradialog_question1"/>
    <w:basedOn w:val="Normal"/>
    <w:pPr>
      <w:spacing w:after="150"/>
    </w:pPr>
  </w:style>
  <w:style w:type="paragraph" w:customStyle="1" w:styleId="zebradialogwarning1">
    <w:name w:val="zebradialog_warning1"/>
    <w:basedOn w:val="Normal"/>
    <w:pPr>
      <w:spacing w:after="150"/>
    </w:pPr>
  </w:style>
  <w:style w:type="paragraph" w:customStyle="1" w:styleId="zebradialogbuttons1">
    <w:name w:val="zebradialog_buttons1"/>
    <w:basedOn w:val="Normal"/>
    <w:pPr>
      <w:pBdr>
        <w:top w:val="single" w:sz="6" w:space="4" w:color="DADADA"/>
      </w:pBdr>
      <w:shd w:val="clear" w:color="auto" w:fill="E5E5E5"/>
      <w:spacing w:after="150"/>
    </w:pPr>
  </w:style>
  <w:style w:type="paragraph" w:customStyle="1" w:styleId="ui-widget1">
    <w:name w:val="ui-widget1"/>
    <w:basedOn w:val="Normal"/>
    <w:pPr>
      <w:spacing w:after="150"/>
    </w:pPr>
    <w:rPr>
      <w:rFonts w:ascii="Segoe UI" w:hAnsi="Segoe UI" w:cs="Segoe UI"/>
    </w:rPr>
  </w:style>
  <w:style w:type="paragraph" w:customStyle="1" w:styleId="ui-state-default1">
    <w:name w:val="ui-state-default1"/>
    <w:basedOn w:val="Normal"/>
    <w:pPr>
      <w:pBdr>
        <w:top w:val="single" w:sz="6" w:space="0" w:color="D19405"/>
        <w:left w:val="single" w:sz="6" w:space="0" w:color="D19405"/>
        <w:bottom w:val="single" w:sz="6" w:space="0" w:color="D19405"/>
        <w:right w:val="single" w:sz="6" w:space="0" w:color="D19405"/>
      </w:pBdr>
      <w:shd w:val="clear" w:color="auto" w:fill="FECE2F"/>
      <w:spacing w:after="150"/>
    </w:pPr>
    <w:rPr>
      <w:b/>
      <w:bCs/>
      <w:color w:val="4C3000"/>
    </w:rPr>
  </w:style>
  <w:style w:type="paragraph" w:customStyle="1" w:styleId="ui-state-default2">
    <w:name w:val="ui-state-default2"/>
    <w:basedOn w:val="Normal"/>
    <w:pPr>
      <w:pBdr>
        <w:top w:val="single" w:sz="6" w:space="0" w:color="D19405"/>
        <w:left w:val="single" w:sz="6" w:space="0" w:color="D19405"/>
        <w:bottom w:val="single" w:sz="6" w:space="0" w:color="D19405"/>
        <w:right w:val="single" w:sz="6" w:space="0" w:color="D19405"/>
      </w:pBdr>
      <w:shd w:val="clear" w:color="auto" w:fill="FECE2F"/>
      <w:spacing w:after="150"/>
    </w:pPr>
    <w:rPr>
      <w:b/>
      <w:bCs/>
      <w:color w:val="4C3000"/>
    </w:rPr>
  </w:style>
  <w:style w:type="paragraph" w:customStyle="1" w:styleId="ui-state-hover1">
    <w:name w:val="ui-state-hover1"/>
    <w:basedOn w:val="Normal"/>
    <w:pPr>
      <w:pBdr>
        <w:top w:val="single" w:sz="6" w:space="0" w:color="A45B13"/>
        <w:left w:val="single" w:sz="6" w:space="0" w:color="A45B13"/>
        <w:bottom w:val="single" w:sz="6" w:space="0" w:color="A45B13"/>
        <w:right w:val="single" w:sz="6" w:space="0" w:color="A45B13"/>
      </w:pBdr>
      <w:shd w:val="clear" w:color="auto" w:fill="FFDD57"/>
      <w:spacing w:after="150"/>
    </w:pPr>
    <w:rPr>
      <w:b/>
      <w:bCs/>
      <w:color w:val="381F00"/>
    </w:rPr>
  </w:style>
  <w:style w:type="paragraph" w:customStyle="1" w:styleId="ui-state-hover2">
    <w:name w:val="ui-state-hover2"/>
    <w:basedOn w:val="Normal"/>
    <w:pPr>
      <w:pBdr>
        <w:top w:val="single" w:sz="6" w:space="0" w:color="A45B13"/>
        <w:left w:val="single" w:sz="6" w:space="0" w:color="A45B13"/>
        <w:bottom w:val="single" w:sz="6" w:space="0" w:color="A45B13"/>
        <w:right w:val="single" w:sz="6" w:space="0" w:color="A45B13"/>
      </w:pBdr>
      <w:shd w:val="clear" w:color="auto" w:fill="FFDD57"/>
      <w:spacing w:after="150"/>
    </w:pPr>
    <w:rPr>
      <w:b/>
      <w:bCs/>
      <w:color w:val="381F00"/>
    </w:rPr>
  </w:style>
  <w:style w:type="paragraph" w:customStyle="1" w:styleId="ui-state-focus1">
    <w:name w:val="ui-state-focus1"/>
    <w:basedOn w:val="Normal"/>
    <w:pPr>
      <w:pBdr>
        <w:top w:val="single" w:sz="6" w:space="0" w:color="A45B13"/>
        <w:left w:val="single" w:sz="6" w:space="0" w:color="A45B13"/>
        <w:bottom w:val="single" w:sz="6" w:space="0" w:color="A45B13"/>
        <w:right w:val="single" w:sz="6" w:space="0" w:color="A45B13"/>
      </w:pBdr>
      <w:shd w:val="clear" w:color="auto" w:fill="FFDD57"/>
      <w:spacing w:after="150"/>
    </w:pPr>
    <w:rPr>
      <w:b/>
      <w:bCs/>
      <w:color w:val="381F00"/>
    </w:rPr>
  </w:style>
  <w:style w:type="paragraph" w:customStyle="1" w:styleId="ui-state-focus2">
    <w:name w:val="ui-state-focus2"/>
    <w:basedOn w:val="Normal"/>
    <w:pPr>
      <w:pBdr>
        <w:top w:val="single" w:sz="6" w:space="0" w:color="A45B13"/>
        <w:left w:val="single" w:sz="6" w:space="0" w:color="A45B13"/>
        <w:bottom w:val="single" w:sz="6" w:space="0" w:color="A45B13"/>
        <w:right w:val="single" w:sz="6" w:space="0" w:color="A45B13"/>
      </w:pBdr>
      <w:shd w:val="clear" w:color="auto" w:fill="FFDD57"/>
      <w:spacing w:after="150"/>
    </w:pPr>
    <w:rPr>
      <w:b/>
      <w:bCs/>
      <w:color w:val="381F00"/>
    </w:rPr>
  </w:style>
  <w:style w:type="paragraph" w:customStyle="1" w:styleId="ui-state-active1">
    <w:name w:val="ui-state-active1"/>
    <w:basedOn w:val="Normal"/>
    <w:pPr>
      <w:pBdr>
        <w:top w:val="single" w:sz="6" w:space="0" w:color="655E4E"/>
        <w:left w:val="single" w:sz="6" w:space="0" w:color="655E4E"/>
        <w:bottom w:val="single" w:sz="6" w:space="0" w:color="655E4E"/>
        <w:right w:val="single" w:sz="6" w:space="0" w:color="655E4E"/>
      </w:pBdr>
      <w:shd w:val="clear" w:color="auto" w:fill="FFFFFF"/>
      <w:spacing w:after="150"/>
    </w:pPr>
    <w:rPr>
      <w:b/>
      <w:bCs/>
      <w:color w:val="0074C7"/>
    </w:rPr>
  </w:style>
  <w:style w:type="paragraph" w:customStyle="1" w:styleId="ui-state-active2">
    <w:name w:val="ui-state-active2"/>
    <w:basedOn w:val="Normal"/>
    <w:pPr>
      <w:pBdr>
        <w:top w:val="single" w:sz="6" w:space="0" w:color="655E4E"/>
        <w:left w:val="single" w:sz="6" w:space="0" w:color="655E4E"/>
        <w:bottom w:val="single" w:sz="6" w:space="0" w:color="655E4E"/>
        <w:right w:val="single" w:sz="6" w:space="0" w:color="655E4E"/>
      </w:pBdr>
      <w:shd w:val="clear" w:color="auto" w:fill="FFFFFF"/>
      <w:spacing w:after="150"/>
    </w:pPr>
    <w:rPr>
      <w:b/>
      <w:bCs/>
      <w:color w:val="0074C7"/>
    </w:rPr>
  </w:style>
  <w:style w:type="paragraph" w:customStyle="1" w:styleId="ui-state-highlight1">
    <w:name w:val="ui-state-highlight1"/>
    <w:basedOn w:val="Normal"/>
    <w:pPr>
      <w:pBdr>
        <w:top w:val="single" w:sz="6" w:space="0" w:color="EEB420"/>
        <w:left w:val="single" w:sz="6" w:space="0" w:color="EEB420"/>
        <w:bottom w:val="single" w:sz="6" w:space="0" w:color="EEB420"/>
        <w:right w:val="single" w:sz="6" w:space="0" w:color="EEB420"/>
      </w:pBdr>
      <w:spacing w:after="150"/>
    </w:pPr>
    <w:rPr>
      <w:color w:val="1F1F1F"/>
    </w:rPr>
  </w:style>
  <w:style w:type="paragraph" w:customStyle="1" w:styleId="ui-state-highlight2">
    <w:name w:val="ui-state-highlight2"/>
    <w:basedOn w:val="Normal"/>
    <w:pPr>
      <w:pBdr>
        <w:top w:val="single" w:sz="6" w:space="0" w:color="EEB420"/>
        <w:left w:val="single" w:sz="6" w:space="0" w:color="EEB420"/>
        <w:bottom w:val="single" w:sz="6" w:space="0" w:color="EEB420"/>
        <w:right w:val="single" w:sz="6" w:space="0" w:color="EEB420"/>
      </w:pBdr>
      <w:spacing w:after="150"/>
    </w:pPr>
    <w:rPr>
      <w:color w:val="1F1F1F"/>
    </w:rPr>
  </w:style>
  <w:style w:type="paragraph" w:customStyle="1" w:styleId="ui-state-error1">
    <w:name w:val="ui-state-error1"/>
    <w:basedOn w:val="Normal"/>
    <w:pPr>
      <w:pBdr>
        <w:top w:val="single" w:sz="6" w:space="0" w:color="FFB73D"/>
        <w:left w:val="single" w:sz="6" w:space="0" w:color="FFB73D"/>
        <w:bottom w:val="single" w:sz="6" w:space="0" w:color="FFB73D"/>
        <w:right w:val="single" w:sz="6" w:space="0" w:color="FFB73D"/>
      </w:pBdr>
      <w:shd w:val="clear" w:color="auto" w:fill="D34D17"/>
      <w:spacing w:after="150"/>
    </w:pPr>
    <w:rPr>
      <w:color w:val="FFFFFF"/>
    </w:rPr>
  </w:style>
  <w:style w:type="paragraph" w:customStyle="1" w:styleId="ui-state-error2">
    <w:name w:val="ui-state-error2"/>
    <w:basedOn w:val="Normal"/>
    <w:pPr>
      <w:pBdr>
        <w:top w:val="single" w:sz="6" w:space="0" w:color="FFB73D"/>
        <w:left w:val="single" w:sz="6" w:space="0" w:color="FFB73D"/>
        <w:bottom w:val="single" w:sz="6" w:space="0" w:color="FFB73D"/>
        <w:right w:val="single" w:sz="6" w:space="0" w:color="FFB73D"/>
      </w:pBdr>
      <w:shd w:val="clear" w:color="auto" w:fill="D34D17"/>
      <w:spacing w:after="150"/>
    </w:pPr>
    <w:rPr>
      <w:color w:val="FFFFFF"/>
    </w:rPr>
  </w:style>
  <w:style w:type="paragraph" w:customStyle="1" w:styleId="ui-state-error-text1">
    <w:name w:val="ui-state-error-text1"/>
    <w:basedOn w:val="Normal"/>
    <w:pPr>
      <w:spacing w:after="150"/>
    </w:pPr>
    <w:rPr>
      <w:color w:val="FFFFFF"/>
    </w:rPr>
  </w:style>
  <w:style w:type="paragraph" w:customStyle="1" w:styleId="ui-state-error-text2">
    <w:name w:val="ui-state-error-text2"/>
    <w:basedOn w:val="Normal"/>
    <w:pPr>
      <w:spacing w:after="150"/>
    </w:pPr>
    <w:rPr>
      <w:color w:val="FFFFFF"/>
    </w:rPr>
  </w:style>
  <w:style w:type="paragraph" w:customStyle="1" w:styleId="ui-priority-primary1">
    <w:name w:val="ui-priority-primary1"/>
    <w:basedOn w:val="Normal"/>
    <w:pPr>
      <w:spacing w:after="150"/>
    </w:pPr>
    <w:rPr>
      <w:b/>
      <w:bCs/>
    </w:rPr>
  </w:style>
  <w:style w:type="paragraph" w:customStyle="1" w:styleId="ui-priority-primary2">
    <w:name w:val="ui-priority-primary2"/>
    <w:basedOn w:val="Normal"/>
    <w:pPr>
      <w:spacing w:after="150"/>
    </w:pPr>
    <w:rPr>
      <w:b/>
      <w:bCs/>
    </w:rPr>
  </w:style>
  <w:style w:type="paragraph" w:customStyle="1" w:styleId="ui-priority-secondary1">
    <w:name w:val="ui-priority-secondary1"/>
    <w:basedOn w:val="Normal"/>
    <w:pPr>
      <w:spacing w:after="150"/>
    </w:pPr>
  </w:style>
  <w:style w:type="paragraph" w:customStyle="1" w:styleId="ui-priority-secondary2">
    <w:name w:val="ui-priority-secondary2"/>
    <w:basedOn w:val="Normal"/>
    <w:pPr>
      <w:spacing w:after="150"/>
    </w:pPr>
  </w:style>
  <w:style w:type="paragraph" w:customStyle="1" w:styleId="ui-state-disabled1">
    <w:name w:val="ui-state-disabled1"/>
    <w:basedOn w:val="Normal"/>
    <w:pPr>
      <w:spacing w:after="150"/>
    </w:pPr>
  </w:style>
  <w:style w:type="paragraph" w:customStyle="1" w:styleId="ui-state-disabled2">
    <w:name w:val="ui-state-disabled2"/>
    <w:basedOn w:val="Normal"/>
    <w:pPr>
      <w:spacing w:after="150"/>
    </w:pPr>
  </w:style>
  <w:style w:type="paragraph" w:customStyle="1" w:styleId="ui-icon1">
    <w:name w:val="ui-icon1"/>
    <w:basedOn w:val="Normal"/>
    <w:pPr>
      <w:spacing w:after="150"/>
      <w:ind w:firstLine="7343"/>
    </w:pPr>
  </w:style>
  <w:style w:type="paragraph" w:customStyle="1" w:styleId="ui-icon2">
    <w:name w:val="ui-icon2"/>
    <w:basedOn w:val="Normal"/>
    <w:pPr>
      <w:spacing w:after="150"/>
      <w:ind w:firstLine="7343"/>
    </w:pPr>
  </w:style>
  <w:style w:type="paragraph" w:customStyle="1" w:styleId="ui-icon3">
    <w:name w:val="ui-icon3"/>
    <w:basedOn w:val="Normal"/>
    <w:pPr>
      <w:spacing w:after="150"/>
      <w:ind w:firstLine="7343"/>
    </w:pPr>
  </w:style>
  <w:style w:type="paragraph" w:customStyle="1" w:styleId="ui-icon4">
    <w:name w:val="ui-icon4"/>
    <w:basedOn w:val="Normal"/>
    <w:pPr>
      <w:spacing w:after="150"/>
      <w:ind w:firstLine="7343"/>
    </w:pPr>
  </w:style>
  <w:style w:type="paragraph" w:customStyle="1" w:styleId="ui-icon5">
    <w:name w:val="ui-icon5"/>
    <w:basedOn w:val="Normal"/>
    <w:pPr>
      <w:spacing w:after="150"/>
      <w:ind w:firstLine="7343"/>
    </w:pPr>
  </w:style>
  <w:style w:type="paragraph" w:customStyle="1" w:styleId="ui-icon6">
    <w:name w:val="ui-icon6"/>
    <w:basedOn w:val="Normal"/>
    <w:pPr>
      <w:spacing w:after="150"/>
      <w:ind w:firstLine="7343"/>
    </w:pPr>
  </w:style>
  <w:style w:type="paragraph" w:customStyle="1" w:styleId="ui-icon7">
    <w:name w:val="ui-icon7"/>
    <w:basedOn w:val="Normal"/>
    <w:pPr>
      <w:spacing w:after="150"/>
      <w:ind w:firstLine="7343"/>
    </w:pPr>
  </w:style>
  <w:style w:type="paragraph" w:customStyle="1" w:styleId="ui-icon8">
    <w:name w:val="ui-icon8"/>
    <w:basedOn w:val="Normal"/>
    <w:pPr>
      <w:spacing w:after="150"/>
      <w:ind w:firstLine="7343"/>
    </w:pPr>
  </w:style>
  <w:style w:type="paragraph" w:customStyle="1" w:styleId="ui-icon9">
    <w:name w:val="ui-icon9"/>
    <w:basedOn w:val="Normal"/>
    <w:pPr>
      <w:spacing w:after="150"/>
      <w:ind w:firstLine="7343"/>
    </w:pPr>
  </w:style>
  <w:style w:type="paragraph" w:customStyle="1" w:styleId="ui-resizable-handle1">
    <w:name w:val="ui-resizable-handle1"/>
    <w:basedOn w:val="Normal"/>
    <w:pPr>
      <w:spacing w:after="150"/>
    </w:pPr>
    <w:rPr>
      <w:vanish/>
      <w:sz w:val="2"/>
      <w:szCs w:val="2"/>
    </w:rPr>
  </w:style>
  <w:style w:type="paragraph" w:customStyle="1" w:styleId="ui-resizable-handle2">
    <w:name w:val="ui-resizable-handle2"/>
    <w:basedOn w:val="Normal"/>
    <w:pPr>
      <w:spacing w:after="150"/>
    </w:pPr>
    <w:rPr>
      <w:vanish/>
      <w:sz w:val="2"/>
      <w:szCs w:val="2"/>
    </w:rPr>
  </w:style>
  <w:style w:type="paragraph" w:customStyle="1" w:styleId="ui-accordion-header1">
    <w:name w:val="ui-accordion-header1"/>
    <w:basedOn w:val="Normal"/>
    <w:pPr>
      <w:spacing w:before="15" w:after="150"/>
    </w:pPr>
  </w:style>
  <w:style w:type="paragraph" w:customStyle="1" w:styleId="ui-accordion-li-fix1">
    <w:name w:val="ui-accordion-li-fix1"/>
    <w:basedOn w:val="Normal"/>
    <w:pPr>
      <w:spacing w:after="150"/>
    </w:pPr>
  </w:style>
  <w:style w:type="paragraph" w:customStyle="1" w:styleId="ui-accordion-header-active1">
    <w:name w:val="ui-accordion-header-active1"/>
    <w:basedOn w:val="Normal"/>
    <w:pPr>
      <w:spacing w:after="150"/>
    </w:pPr>
  </w:style>
  <w:style w:type="paragraph" w:customStyle="1" w:styleId="ui-icon10">
    <w:name w:val="ui-icon10"/>
    <w:basedOn w:val="Normal"/>
    <w:pPr>
      <w:spacing w:after="150"/>
      <w:ind w:firstLine="7343"/>
    </w:pPr>
  </w:style>
  <w:style w:type="paragraph" w:customStyle="1" w:styleId="ui-accordion-content1">
    <w:name w:val="ui-accordion-content1"/>
    <w:basedOn w:val="Normal"/>
    <w:pPr>
      <w:spacing w:after="30"/>
    </w:pPr>
    <w:rPr>
      <w:vanish/>
    </w:rPr>
  </w:style>
  <w:style w:type="paragraph" w:customStyle="1" w:styleId="ui-accordion-content-active1">
    <w:name w:val="ui-accordion-content-active1"/>
    <w:basedOn w:val="Normal"/>
    <w:pPr>
      <w:spacing w:after="150"/>
    </w:pPr>
  </w:style>
  <w:style w:type="paragraph" w:customStyle="1" w:styleId="ui-menu1">
    <w:name w:val="ui-menu1"/>
    <w:basedOn w:val="Normal"/>
  </w:style>
  <w:style w:type="paragraph" w:customStyle="1" w:styleId="ui-menu-item1">
    <w:name w:val="ui-menu-item1"/>
    <w:basedOn w:val="Normal"/>
  </w:style>
  <w:style w:type="paragraph" w:customStyle="1" w:styleId="ui-button-text1">
    <w:name w:val="ui-button-text1"/>
    <w:basedOn w:val="Normal"/>
    <w:pPr>
      <w:spacing w:after="150"/>
    </w:pPr>
  </w:style>
  <w:style w:type="paragraph" w:customStyle="1" w:styleId="ui-button-text2">
    <w:name w:val="ui-button-text2"/>
    <w:basedOn w:val="Normal"/>
    <w:pPr>
      <w:spacing w:after="150"/>
    </w:pPr>
  </w:style>
  <w:style w:type="paragraph" w:customStyle="1" w:styleId="ui-button-text3">
    <w:name w:val="ui-button-text3"/>
    <w:basedOn w:val="Normal"/>
    <w:pPr>
      <w:spacing w:after="150"/>
      <w:ind w:firstLine="11919"/>
    </w:pPr>
  </w:style>
  <w:style w:type="paragraph" w:customStyle="1" w:styleId="ui-button-text4">
    <w:name w:val="ui-button-text4"/>
    <w:basedOn w:val="Normal"/>
    <w:pPr>
      <w:spacing w:after="150"/>
      <w:ind w:firstLine="11919"/>
    </w:pPr>
  </w:style>
  <w:style w:type="paragraph" w:customStyle="1" w:styleId="ui-button-text5">
    <w:name w:val="ui-button-text5"/>
    <w:basedOn w:val="Normal"/>
    <w:pPr>
      <w:spacing w:after="150"/>
    </w:pPr>
  </w:style>
  <w:style w:type="paragraph" w:customStyle="1" w:styleId="ui-button-text6">
    <w:name w:val="ui-button-text6"/>
    <w:basedOn w:val="Normal"/>
    <w:pPr>
      <w:spacing w:after="150"/>
    </w:pPr>
  </w:style>
  <w:style w:type="paragraph" w:customStyle="1" w:styleId="ui-button-text7">
    <w:name w:val="ui-button-text7"/>
    <w:basedOn w:val="Normal"/>
    <w:pPr>
      <w:spacing w:after="150"/>
    </w:pPr>
  </w:style>
  <w:style w:type="paragraph" w:customStyle="1" w:styleId="ui-icon11">
    <w:name w:val="ui-icon11"/>
    <w:basedOn w:val="Normal"/>
    <w:pPr>
      <w:spacing w:after="150"/>
      <w:ind w:left="-120" w:firstLine="7343"/>
    </w:pPr>
  </w:style>
  <w:style w:type="paragraph" w:customStyle="1" w:styleId="ui-icon12">
    <w:name w:val="ui-icon12"/>
    <w:basedOn w:val="Normal"/>
    <w:pPr>
      <w:spacing w:after="150"/>
      <w:ind w:firstLine="7343"/>
    </w:pPr>
  </w:style>
  <w:style w:type="paragraph" w:customStyle="1" w:styleId="ui-icon13">
    <w:name w:val="ui-icon13"/>
    <w:basedOn w:val="Normal"/>
    <w:pPr>
      <w:spacing w:after="150"/>
      <w:ind w:firstLine="7343"/>
    </w:pPr>
  </w:style>
  <w:style w:type="paragraph" w:customStyle="1" w:styleId="ui-icon14">
    <w:name w:val="ui-icon14"/>
    <w:basedOn w:val="Normal"/>
    <w:pPr>
      <w:spacing w:after="150"/>
      <w:ind w:firstLine="7343"/>
    </w:pPr>
  </w:style>
  <w:style w:type="paragraph" w:customStyle="1" w:styleId="ui-icon15">
    <w:name w:val="ui-icon15"/>
    <w:basedOn w:val="Normal"/>
    <w:pPr>
      <w:spacing w:after="150"/>
      <w:ind w:firstLine="7343"/>
    </w:pPr>
  </w:style>
  <w:style w:type="paragraph" w:customStyle="1" w:styleId="ui-button1">
    <w:name w:val="ui-button1"/>
    <w:basedOn w:val="Normal"/>
    <w:pPr>
      <w:spacing w:after="150"/>
      <w:ind w:right="-72"/>
      <w:jc w:val="center"/>
    </w:pPr>
  </w:style>
  <w:style w:type="paragraph" w:customStyle="1" w:styleId="ui-dialog-titlebar1">
    <w:name w:val="ui-dialog-titlebar1"/>
    <w:basedOn w:val="Normal"/>
    <w:pPr>
      <w:spacing w:after="150"/>
    </w:pPr>
  </w:style>
  <w:style w:type="paragraph" w:customStyle="1" w:styleId="ui-dialog-title1">
    <w:name w:val="ui-dialog-title1"/>
    <w:basedOn w:val="Normal"/>
    <w:pPr>
      <w:spacing w:before="24" w:after="24"/>
      <w:ind w:right="240"/>
    </w:pPr>
  </w:style>
  <w:style w:type="paragraph" w:customStyle="1" w:styleId="ui-dialog-titlebar-close1">
    <w:name w:val="ui-dialog-titlebar-close1"/>
    <w:basedOn w:val="Normal"/>
  </w:style>
  <w:style w:type="paragraph" w:customStyle="1" w:styleId="ui-dialog-content1">
    <w:name w:val="ui-dialog-content1"/>
    <w:basedOn w:val="Normal"/>
    <w:pPr>
      <w:spacing w:after="150"/>
    </w:pPr>
  </w:style>
  <w:style w:type="paragraph" w:customStyle="1" w:styleId="ui-dialog-buttonpane1">
    <w:name w:val="ui-dialog-buttonpane1"/>
    <w:basedOn w:val="Normal"/>
    <w:pPr>
      <w:spacing w:before="120"/>
    </w:pPr>
  </w:style>
  <w:style w:type="paragraph" w:customStyle="1" w:styleId="ui-resizable-se1">
    <w:name w:val="ui-resizable-se1"/>
    <w:basedOn w:val="Normal"/>
    <w:pPr>
      <w:spacing w:after="150"/>
    </w:pPr>
  </w:style>
  <w:style w:type="paragraph" w:customStyle="1" w:styleId="ui-slider-handle1">
    <w:name w:val="ui-slider-handle1"/>
    <w:basedOn w:val="Normal"/>
    <w:pPr>
      <w:spacing w:after="150"/>
    </w:pPr>
  </w:style>
  <w:style w:type="paragraph" w:customStyle="1" w:styleId="ui-slider-range1">
    <w:name w:val="ui-slider-range1"/>
    <w:basedOn w:val="Normal"/>
    <w:pPr>
      <w:spacing w:after="150"/>
    </w:pPr>
    <w:rPr>
      <w:sz w:val="17"/>
      <w:szCs w:val="17"/>
    </w:rPr>
  </w:style>
  <w:style w:type="paragraph" w:customStyle="1" w:styleId="ui-slider-handle2">
    <w:name w:val="ui-slider-handle2"/>
    <w:basedOn w:val="Normal"/>
    <w:pPr>
      <w:spacing w:after="150"/>
      <w:ind w:left="-144"/>
    </w:pPr>
  </w:style>
  <w:style w:type="paragraph" w:customStyle="1" w:styleId="ui-slider-handle3">
    <w:name w:val="ui-slider-handle3"/>
    <w:basedOn w:val="Normal"/>
  </w:style>
  <w:style w:type="paragraph" w:customStyle="1" w:styleId="ui-slider-range2">
    <w:name w:val="ui-slider-range2"/>
    <w:basedOn w:val="Normal"/>
    <w:pPr>
      <w:spacing w:after="150"/>
    </w:pPr>
  </w:style>
  <w:style w:type="paragraph" w:customStyle="1" w:styleId="ui-tabs-nav1">
    <w:name w:val="ui-tabs-nav1"/>
    <w:basedOn w:val="Normal"/>
  </w:style>
  <w:style w:type="paragraph" w:customStyle="1" w:styleId="ui-tabs-panel1">
    <w:name w:val="ui-tabs-panel1"/>
    <w:basedOn w:val="Normal"/>
    <w:pPr>
      <w:spacing w:after="150"/>
    </w:pPr>
  </w:style>
  <w:style w:type="paragraph" w:customStyle="1" w:styleId="ui-tabs-hide1">
    <w:name w:val="ui-tabs-hide1"/>
    <w:basedOn w:val="Normal"/>
    <w:pPr>
      <w:spacing w:after="150"/>
    </w:pPr>
    <w:rPr>
      <w:vanish/>
    </w:rPr>
  </w:style>
  <w:style w:type="paragraph" w:customStyle="1" w:styleId="ui-datepicker-header1">
    <w:name w:val="ui-datepicker-header1"/>
    <w:basedOn w:val="Normal"/>
    <w:pPr>
      <w:spacing w:after="150"/>
    </w:pPr>
  </w:style>
  <w:style w:type="paragraph" w:customStyle="1" w:styleId="ui-datepicker-prev1">
    <w:name w:val="ui-datepicker-prev1"/>
    <w:basedOn w:val="Normal"/>
    <w:pPr>
      <w:spacing w:after="150"/>
    </w:pPr>
  </w:style>
  <w:style w:type="paragraph" w:customStyle="1" w:styleId="ui-datepicker-next1">
    <w:name w:val="ui-datepicker-next1"/>
    <w:basedOn w:val="Normal"/>
    <w:pPr>
      <w:spacing w:after="150"/>
    </w:pPr>
  </w:style>
  <w:style w:type="paragraph" w:customStyle="1" w:styleId="ui-datepicker-title1">
    <w:name w:val="ui-datepicker-title1"/>
    <w:basedOn w:val="Normal"/>
    <w:pPr>
      <w:spacing w:line="432" w:lineRule="atLeast"/>
      <w:ind w:left="552" w:right="552"/>
      <w:jc w:val="center"/>
    </w:pPr>
  </w:style>
  <w:style w:type="paragraph" w:customStyle="1" w:styleId="ui-datepicker-buttonpane1">
    <w:name w:val="ui-datepicker-buttonpane1"/>
    <w:basedOn w:val="Normal"/>
    <w:pPr>
      <w:spacing w:before="168"/>
    </w:pPr>
  </w:style>
  <w:style w:type="paragraph" w:customStyle="1" w:styleId="ui-datepicker-group1">
    <w:name w:val="ui-datepicker-group1"/>
    <w:basedOn w:val="Normal"/>
    <w:pPr>
      <w:spacing w:after="150"/>
    </w:pPr>
  </w:style>
  <w:style w:type="paragraph" w:customStyle="1" w:styleId="ui-datepicker-group2">
    <w:name w:val="ui-datepicker-group2"/>
    <w:basedOn w:val="Normal"/>
    <w:pPr>
      <w:spacing w:after="150"/>
    </w:pPr>
  </w:style>
  <w:style w:type="paragraph" w:customStyle="1" w:styleId="ui-datepicker-group3">
    <w:name w:val="ui-datepicker-group3"/>
    <w:basedOn w:val="Normal"/>
    <w:pPr>
      <w:spacing w:after="150"/>
    </w:pPr>
  </w:style>
  <w:style w:type="paragraph" w:customStyle="1" w:styleId="ui-datepicker-header2">
    <w:name w:val="ui-datepicker-header2"/>
    <w:basedOn w:val="Normal"/>
    <w:pPr>
      <w:spacing w:after="150"/>
    </w:pPr>
  </w:style>
  <w:style w:type="paragraph" w:customStyle="1" w:styleId="ui-datepicker-header3">
    <w:name w:val="ui-datepicker-header3"/>
    <w:basedOn w:val="Normal"/>
    <w:pPr>
      <w:spacing w:after="150"/>
    </w:pPr>
  </w:style>
  <w:style w:type="paragraph" w:customStyle="1" w:styleId="ui-datepicker-buttonpane2">
    <w:name w:val="ui-datepicker-buttonpane2"/>
    <w:basedOn w:val="Normal"/>
    <w:pPr>
      <w:spacing w:after="150"/>
    </w:pPr>
  </w:style>
  <w:style w:type="paragraph" w:customStyle="1" w:styleId="ui-datepicker-buttonpane3">
    <w:name w:val="ui-datepicker-buttonpane3"/>
    <w:basedOn w:val="Normal"/>
    <w:pPr>
      <w:spacing w:after="150"/>
    </w:pPr>
  </w:style>
  <w:style w:type="paragraph" w:customStyle="1" w:styleId="ui-datepicker-header4">
    <w:name w:val="ui-datepicker-header4"/>
    <w:basedOn w:val="Normal"/>
    <w:pPr>
      <w:spacing w:after="150"/>
    </w:pPr>
  </w:style>
  <w:style w:type="paragraph" w:customStyle="1" w:styleId="ui-datepicker-header5">
    <w:name w:val="ui-datepicker-header5"/>
    <w:basedOn w:val="Normal"/>
    <w:pPr>
      <w:spacing w:after="150"/>
    </w:pPr>
  </w:style>
  <w:style w:type="paragraph" w:customStyle="1" w:styleId="ui-progressbar-value1">
    <w:name w:val="ui-progressbar-value1"/>
    <w:basedOn w:val="Normal"/>
    <w:pPr>
      <w:ind w:left="-15" w:right="-15"/>
    </w:pPr>
  </w:style>
  <w:style w:type="paragraph" w:customStyle="1" w:styleId="report-abuse1">
    <w:name w:val="report-abuse1"/>
    <w:basedOn w:val="Normal"/>
    <w:pPr>
      <w:spacing w:after="150"/>
    </w:pPr>
    <w:rPr>
      <w:sz w:val="17"/>
      <w:szCs w:val="17"/>
    </w:rPr>
  </w:style>
  <w:style w:type="paragraph" w:customStyle="1" w:styleId="ss-language-bar1">
    <w:name w:val="ss-language-bar1"/>
    <w:basedOn w:val="Normal"/>
    <w:pPr>
      <w:spacing w:before="630" w:after="150"/>
    </w:pPr>
  </w:style>
  <w:style w:type="paragraph" w:customStyle="1" w:styleId="title1">
    <w:name w:val="title1"/>
    <w:basedOn w:val="Normal"/>
    <w:pPr>
      <w:spacing w:after="150"/>
    </w:pPr>
    <w:rPr>
      <w:b/>
      <w:bCs/>
      <w:sz w:val="21"/>
      <w:szCs w:val="21"/>
    </w:rPr>
  </w:style>
  <w:style w:type="paragraph" w:customStyle="1" w:styleId="desc1">
    <w:name w:val="desc1"/>
    <w:basedOn w:val="Normal"/>
    <w:pPr>
      <w:spacing w:after="150"/>
      <w:jc w:val="center"/>
    </w:pPr>
    <w:rPr>
      <w:sz w:val="18"/>
      <w:szCs w:val="18"/>
    </w:rPr>
  </w:style>
  <w:style w:type="paragraph" w:customStyle="1" w:styleId="paging1">
    <w:name w:val="paging1"/>
    <w:basedOn w:val="Normal"/>
    <w:pPr>
      <w:spacing w:after="150"/>
      <w:jc w:val="right"/>
    </w:pPr>
  </w:style>
  <w:style w:type="paragraph" w:customStyle="1" w:styleId="ss-question-title1">
    <w:name w:val="ss-question-title1"/>
    <w:basedOn w:val="Normal"/>
    <w:pPr>
      <w:spacing w:after="150"/>
    </w:pPr>
  </w:style>
  <w:style w:type="paragraph" w:customStyle="1" w:styleId="ss-col-left1">
    <w:name w:val="ss-col-left1"/>
    <w:basedOn w:val="Normal"/>
    <w:pPr>
      <w:spacing w:after="150"/>
    </w:pPr>
  </w:style>
  <w:style w:type="paragraph" w:customStyle="1" w:styleId="ss-col-right1">
    <w:name w:val="ss-col-right1"/>
    <w:basedOn w:val="Normal"/>
    <w:pPr>
      <w:spacing w:after="150"/>
    </w:pPr>
  </w:style>
  <w:style w:type="paragraph" w:customStyle="1" w:styleId="ss-image-box1">
    <w:name w:val="ss-image-box1"/>
    <w:basedOn w:val="Normal"/>
    <w:pPr>
      <w:pBdr>
        <w:top w:val="single" w:sz="12" w:space="0" w:color="0000FF"/>
        <w:left w:val="single" w:sz="12" w:space="0" w:color="0000FF"/>
        <w:bottom w:val="single" w:sz="12" w:space="0" w:color="0000FF"/>
        <w:right w:val="single" w:sz="12" w:space="0" w:color="0000FF"/>
      </w:pBdr>
      <w:spacing w:before="105" w:after="105" w:line="0" w:lineRule="auto"/>
      <w:ind w:left="105" w:right="105"/>
    </w:pPr>
  </w:style>
  <w:style w:type="paragraph" w:customStyle="1" w:styleId="ss-image-box2">
    <w:name w:val="ss-image-box2"/>
    <w:basedOn w:val="Normal"/>
    <w:pPr>
      <w:pBdr>
        <w:top w:val="single" w:sz="12" w:space="0" w:color="008000"/>
        <w:left w:val="single" w:sz="12" w:space="0" w:color="008000"/>
        <w:bottom w:val="single" w:sz="12" w:space="0" w:color="008000"/>
        <w:right w:val="single" w:sz="12" w:space="0" w:color="008000"/>
      </w:pBdr>
      <w:spacing w:before="105" w:after="105" w:line="0" w:lineRule="auto"/>
      <w:ind w:left="105" w:right="105"/>
    </w:pPr>
  </w:style>
  <w:style w:type="paragraph" w:customStyle="1" w:styleId="ss-image-box3">
    <w:name w:val="ss-image-box3"/>
    <w:basedOn w:val="Normal"/>
    <w:pPr>
      <w:pBdr>
        <w:top w:val="single" w:sz="12" w:space="0" w:color="008000"/>
        <w:left w:val="single" w:sz="12" w:space="0" w:color="008000"/>
        <w:bottom w:val="single" w:sz="12" w:space="0" w:color="008000"/>
        <w:right w:val="single" w:sz="12" w:space="0" w:color="008000"/>
      </w:pBdr>
      <w:spacing w:before="105" w:after="105" w:line="0" w:lineRule="auto"/>
      <w:ind w:left="105" w:right="105"/>
    </w:pPr>
  </w:style>
  <w:style w:type="paragraph" w:customStyle="1" w:styleId="ss-image-box4">
    <w:name w:val="ss-image-box4"/>
    <w:basedOn w:val="Normal"/>
    <w:pPr>
      <w:pBdr>
        <w:top w:val="single" w:sz="12" w:space="0" w:color="ECF0F1"/>
        <w:left w:val="single" w:sz="12" w:space="0" w:color="ECF0F1"/>
        <w:bottom w:val="single" w:sz="12" w:space="0" w:color="ECF0F1"/>
        <w:right w:val="single" w:sz="12" w:space="0" w:color="ECF0F1"/>
      </w:pBdr>
      <w:spacing w:before="105" w:after="105" w:line="0" w:lineRule="auto"/>
      <w:ind w:left="105" w:right="105"/>
    </w:pPr>
  </w:style>
  <w:style w:type="paragraph" w:customStyle="1" w:styleId="ss-image-wrapper1">
    <w:name w:val="ss-image-wrapper1"/>
    <w:basedOn w:val="Normal"/>
    <w:pPr>
      <w:spacing w:after="150"/>
    </w:pPr>
  </w:style>
  <w:style w:type="paragraph" w:customStyle="1" w:styleId="ss-image-caption1">
    <w:name w:val="ss-image-caption1"/>
    <w:basedOn w:val="Normal"/>
    <w:pPr>
      <w:shd w:val="clear" w:color="auto" w:fill="444444"/>
      <w:spacing w:after="150"/>
      <w:jc w:val="center"/>
    </w:pPr>
    <w:rPr>
      <w:color w:val="FFFFFF"/>
      <w:sz w:val="22"/>
      <w:szCs w:val="22"/>
    </w:rPr>
  </w:style>
  <w:style w:type="paragraph" w:customStyle="1" w:styleId="ss-image-icon1">
    <w:name w:val="ss-image-icon1"/>
    <w:basedOn w:val="Normal"/>
    <w:pPr>
      <w:spacing w:after="150"/>
    </w:pPr>
  </w:style>
  <w:style w:type="paragraph" w:customStyle="1" w:styleId="ss-image-icon2">
    <w:name w:val="ss-image-icon2"/>
    <w:basedOn w:val="Normal"/>
    <w:pPr>
      <w:spacing w:after="150"/>
    </w:pPr>
    <w:rPr>
      <w:vanish/>
    </w:rPr>
  </w:style>
  <w:style w:type="character" w:customStyle="1" w:styleId="ss-col-title">
    <w:name w:val="ss-col-title"/>
    <w:basedOn w:val="DefaultParagraphFont"/>
  </w:style>
  <w:style w:type="paragraph" w:styleId="ListParagraph">
    <w:name w:val="List Paragraph"/>
    <w:basedOn w:val="Normal"/>
    <w:pPr>
      <w:ind w:left="720"/>
    </w:pPr>
  </w:style>
  <w:style w:type="paragraph" w:styleId="BalloonText">
    <w:name w:val="Balloon Text"/>
    <w:basedOn w:val="Normal"/>
    <w:rPr>
      <w:rFonts w:ascii="Tahoma" w:hAnsi="Tahoma" w:cs="Tahoma"/>
      <w:sz w:val="16"/>
      <w:szCs w:val="16"/>
    </w:rPr>
  </w:style>
  <w:style w:type="character" w:customStyle="1" w:styleId="BalloonTextChar">
    <w:name w:val="Balloon Text Char"/>
    <w:basedOn w:val="DefaultParagraphFont"/>
    <w:rPr>
      <w:rFonts w:ascii="Tahoma" w:hAnsi="Tahoma" w:cs="Tahoma"/>
      <w:sz w:val="16"/>
      <w:szCs w:val="16"/>
    </w:rPr>
  </w:style>
  <w:style w:type="paragraph" w:styleId="EndnoteText">
    <w:name w:val="endnote text"/>
    <w:basedOn w:val="Normal"/>
    <w:pPr>
      <w:suppressAutoHyphens w:val="0"/>
      <w:textAlignment w:val="auto"/>
    </w:pPr>
    <w:rPr>
      <w:rFonts w:ascii="Calibri" w:eastAsia="Calibri" w:hAnsi="Calibri"/>
      <w:sz w:val="20"/>
      <w:szCs w:val="20"/>
    </w:rPr>
  </w:style>
  <w:style w:type="character" w:customStyle="1" w:styleId="EndnoteTextChar">
    <w:name w:val="Endnote Text Char"/>
    <w:basedOn w:val="DefaultParagraphFont"/>
    <w:rPr>
      <w:rFonts w:ascii="Calibri" w:eastAsia="Calibri" w:hAnsi="Calibri" w:cs="Times New Roman"/>
    </w:rPr>
  </w:style>
  <w:style w:type="paragraph" w:styleId="FootnoteText">
    <w:name w:val="footnote text"/>
    <w:basedOn w:val="Normal"/>
    <w:pPr>
      <w:suppressAutoHyphens w:val="0"/>
      <w:textAlignment w:val="auto"/>
    </w:pPr>
    <w:rPr>
      <w:rFonts w:ascii="Calibri" w:eastAsia="Calibri" w:hAnsi="Calibri"/>
      <w:sz w:val="20"/>
      <w:szCs w:val="20"/>
    </w:rPr>
  </w:style>
  <w:style w:type="character" w:customStyle="1" w:styleId="FootnoteTextChar">
    <w:name w:val="Footnote Text Char"/>
    <w:basedOn w:val="DefaultParagraphFont"/>
    <w:rPr>
      <w:rFonts w:ascii="Calibri" w:eastAsia="Calibri" w:hAnsi="Calibri" w:cs="Times New Roman"/>
    </w:rPr>
  </w:style>
  <w:style w:type="character" w:styleId="FootnoteReference">
    <w:name w:val="footnote reference"/>
    <w:basedOn w:val="DefaultParagraphFont"/>
    <w:rPr>
      <w:position w:val="0"/>
      <w:vertAlign w:val="superscript"/>
    </w:rPr>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character" w:styleId="PlaceholderText">
    <w:name w:val="Placeholder Text"/>
    <w:basedOn w:val="DefaultParagraphFont"/>
    <w:rPr>
      <w:color w:val="808080"/>
    </w:rPr>
  </w:style>
  <w:style w:type="paragraph" w:customStyle="1" w:styleId="xmsonormal">
    <w:name w:val="x_msonormal"/>
    <w:basedOn w:val="Normal"/>
    <w:pPr>
      <w:suppressAutoHyphens w:val="0"/>
      <w:spacing w:before="100" w:after="100"/>
      <w:textAlignment w:val="auto"/>
    </w:pPr>
  </w:style>
  <w:style w:type="paragraph" w:styleId="NoSpacing">
    <w:name w:val="No Spacing"/>
    <w:pPr>
      <w:textAlignment w:val="auto"/>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travelwatchsouthwest.org/documents/" TargetMode="External"/><Relationship Id="rId13" Type="http://schemas.openxmlformats.org/officeDocument/2006/relationships/hyperlink" Target="http://thegreatbritishhighstreet.co.uk/pdf/Successful-Town-Centres.pdf?2"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transportfocus.org.uk/research-publications/publications/rail-passengers-priorities-for-improve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prints.whiterose.ac.uk/88527/"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http://assets.dft.gov.uk.s3.amazonaws.com/images/gws-consultation/swfranchanise.jp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gatwickairport.com/globalassets/business--community/new-community--sustainability/economy/2017-07-07-ggb-connect---arup-report---final.pdf" TargetMode="External"/><Relationship Id="rId2" Type="http://schemas.openxmlformats.org/officeDocument/2006/relationships/hyperlink" Target="http://www.englishrivieratourism.co.uk/documents/Torbay%202012%20Official%20Tourism%20Statistics.pdf" TargetMode="External"/><Relationship Id="rId1" Type="http://schemas.openxmlformats.org/officeDocument/2006/relationships/hyperlink" Target="http://www.southoxon.gov.uk/business/support-business/supporting-our-town-centres/didcot/didcot-garden-town-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16521</Words>
  <Characters>94172</Characters>
  <Application>Microsoft Office Word</Application>
  <DocSecurity>0</DocSecurity>
  <Lines>784</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DFT</dc:creator>
  <cp:lastModifiedBy>Bryony Chetwode</cp:lastModifiedBy>
  <cp:revision>2</cp:revision>
  <cp:lastPrinted>2018-01-06T17:33:00Z</cp:lastPrinted>
  <dcterms:created xsi:type="dcterms:W3CDTF">2018-02-14T17:17:00Z</dcterms:created>
  <dcterms:modified xsi:type="dcterms:W3CDTF">2018-02-14T17:17:00Z</dcterms:modified>
</cp:coreProperties>
</file>